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3A" w:rsidRPr="001B5AB5" w:rsidRDefault="00751B3A" w:rsidP="00751B3A">
      <w:pPr>
        <w:tabs>
          <w:tab w:val="left" w:pos="4962"/>
        </w:tabs>
        <w:spacing w:line="276" w:lineRule="auto"/>
        <w:rPr>
          <w:sz w:val="16"/>
          <w:szCs w:val="16"/>
        </w:rPr>
      </w:pPr>
    </w:p>
    <w:p w:rsidR="004215A7" w:rsidRPr="00726E72" w:rsidRDefault="00D40133" w:rsidP="00726E72">
      <w:pPr>
        <w:jc w:val="center"/>
        <w:outlineLvl w:val="0"/>
        <w:rPr>
          <w:b/>
          <w:sz w:val="28"/>
          <w:szCs w:val="28"/>
        </w:rPr>
      </w:pPr>
      <w:r w:rsidRPr="00726E72">
        <w:rPr>
          <w:b/>
          <w:sz w:val="28"/>
          <w:szCs w:val="28"/>
          <w:lang w:eastAsia="en-US"/>
        </w:rPr>
        <w:t xml:space="preserve">Разъяснения </w:t>
      </w:r>
      <w:r w:rsidR="00726E72">
        <w:rPr>
          <w:b/>
          <w:sz w:val="28"/>
          <w:szCs w:val="28"/>
          <w:lang w:eastAsia="en-US"/>
        </w:rPr>
        <w:t xml:space="preserve">по вопросам, связанным с </w:t>
      </w:r>
      <w:r w:rsidRPr="00726E72">
        <w:rPr>
          <w:b/>
          <w:sz w:val="28"/>
          <w:szCs w:val="28"/>
          <w:lang w:eastAsia="en-US"/>
        </w:rPr>
        <w:t>применени</w:t>
      </w:r>
      <w:r w:rsidR="00726E72">
        <w:rPr>
          <w:b/>
          <w:sz w:val="28"/>
          <w:szCs w:val="28"/>
          <w:lang w:eastAsia="en-US"/>
        </w:rPr>
        <w:t>ем</w:t>
      </w:r>
      <w:r w:rsidRPr="00726E72">
        <w:rPr>
          <w:b/>
          <w:sz w:val="28"/>
          <w:szCs w:val="28"/>
          <w:lang w:eastAsia="en-US"/>
        </w:rPr>
        <w:t xml:space="preserve"> </w:t>
      </w:r>
      <w:r w:rsidR="00726E72">
        <w:rPr>
          <w:b/>
          <w:sz w:val="28"/>
          <w:szCs w:val="28"/>
          <w:lang w:eastAsia="en-US"/>
        </w:rPr>
        <w:t>Рос</w:t>
      </w:r>
      <w:r w:rsidRPr="00726E72">
        <w:rPr>
          <w:b/>
          <w:sz w:val="28"/>
          <w:szCs w:val="28"/>
          <w:lang w:eastAsia="en-US"/>
        </w:rPr>
        <w:t>аккредитаци</w:t>
      </w:r>
      <w:r w:rsidR="00726E72">
        <w:rPr>
          <w:b/>
          <w:sz w:val="28"/>
          <w:szCs w:val="28"/>
          <w:lang w:eastAsia="en-US"/>
        </w:rPr>
        <w:t>ей</w:t>
      </w:r>
      <w:r w:rsidRPr="00726E72">
        <w:rPr>
          <w:b/>
          <w:bCs/>
          <w:sz w:val="28"/>
          <w:szCs w:val="28"/>
        </w:rPr>
        <w:t xml:space="preserve"> </w:t>
      </w:r>
      <w:r w:rsidR="004215A7" w:rsidRPr="00726E72">
        <w:rPr>
          <w:b/>
          <w:sz w:val="28"/>
          <w:szCs w:val="28"/>
        </w:rPr>
        <w:t>положений постановлени</w:t>
      </w:r>
      <w:r w:rsidR="00726E72">
        <w:rPr>
          <w:b/>
          <w:sz w:val="28"/>
          <w:szCs w:val="28"/>
        </w:rPr>
        <w:t>я</w:t>
      </w:r>
      <w:r w:rsidR="004215A7" w:rsidRPr="00726E72">
        <w:rPr>
          <w:b/>
          <w:sz w:val="28"/>
          <w:szCs w:val="28"/>
        </w:rPr>
        <w:t xml:space="preserve"> Правительства Российской Федерации от 21.09.2019 № 1236 «О порядке и основаниях принятия национальным органом по аккредитации решений о включении аккредитованных лиц</w:t>
      </w:r>
      <w:r w:rsidR="00726E72">
        <w:rPr>
          <w:b/>
          <w:sz w:val="28"/>
          <w:szCs w:val="28"/>
        </w:rPr>
        <w:br/>
      </w:r>
      <w:r w:rsidR="004215A7" w:rsidRPr="00726E72">
        <w:rPr>
          <w:b/>
          <w:sz w:val="28"/>
          <w:szCs w:val="28"/>
        </w:rPr>
        <w:t>в национальную часть Единого реестра органов по оценке соответствия Евразийского экономического союза и об их исключении из него» (далее – Постановление № 1236, национальная часть Единого реестра)</w:t>
      </w:r>
      <w:r w:rsidR="00726E72" w:rsidRPr="00726E72">
        <w:rPr>
          <w:b/>
          <w:sz w:val="28"/>
          <w:szCs w:val="28"/>
        </w:rPr>
        <w:t xml:space="preserve">, </w:t>
      </w:r>
      <w:r w:rsidR="00726E72">
        <w:rPr>
          <w:b/>
          <w:sz w:val="28"/>
          <w:szCs w:val="28"/>
        </w:rPr>
        <w:t xml:space="preserve">а также </w:t>
      </w:r>
      <w:r w:rsidR="00726E72" w:rsidRPr="00726E72">
        <w:rPr>
          <w:b/>
          <w:sz w:val="28"/>
          <w:szCs w:val="28"/>
        </w:rPr>
        <w:t>приложения</w:t>
      </w:r>
      <w:r w:rsidR="00726E72">
        <w:rPr>
          <w:b/>
          <w:sz w:val="28"/>
          <w:szCs w:val="28"/>
        </w:rPr>
        <w:t xml:space="preserve"> </w:t>
      </w:r>
      <w:r w:rsidR="00726E72" w:rsidRPr="00726E72">
        <w:rPr>
          <w:b/>
          <w:sz w:val="28"/>
          <w:szCs w:val="28"/>
        </w:rPr>
        <w:t>к Правилам принятия национальным органом по аккредитации решений</w:t>
      </w:r>
      <w:r w:rsidR="00726E72">
        <w:rPr>
          <w:b/>
          <w:sz w:val="28"/>
          <w:szCs w:val="28"/>
        </w:rPr>
        <w:t xml:space="preserve"> </w:t>
      </w:r>
      <w:r w:rsidR="00726E72" w:rsidRPr="00726E72">
        <w:rPr>
          <w:b/>
          <w:sz w:val="28"/>
          <w:szCs w:val="28"/>
        </w:rPr>
        <w:t>о включений аккредитованных лиц в национальную часть Единого реестра органов по оценке соответствия Евразийского экономического союза</w:t>
      </w:r>
      <w:r w:rsidR="00726E72">
        <w:rPr>
          <w:b/>
          <w:sz w:val="28"/>
          <w:szCs w:val="28"/>
        </w:rPr>
        <w:br/>
      </w:r>
      <w:r w:rsidR="00726E72" w:rsidRPr="00726E72">
        <w:rPr>
          <w:b/>
          <w:sz w:val="28"/>
          <w:szCs w:val="28"/>
        </w:rPr>
        <w:t>и об их исключении из него, утвержденным Постановлением № 1236, (далее соответственно – Критерии оценки, Правила включения)</w:t>
      </w:r>
      <w:r w:rsidR="004215A7" w:rsidRPr="00726E72">
        <w:rPr>
          <w:b/>
          <w:sz w:val="28"/>
          <w:szCs w:val="28"/>
        </w:rPr>
        <w:t xml:space="preserve"> </w:t>
      </w:r>
    </w:p>
    <w:p w:rsidR="00D40133" w:rsidRDefault="00D40133" w:rsidP="004215A7">
      <w:pPr>
        <w:shd w:val="clear" w:color="auto" w:fill="FFFFFF"/>
        <w:spacing w:line="264" w:lineRule="auto"/>
        <w:ind w:firstLine="709"/>
        <w:jc w:val="both"/>
        <w:rPr>
          <w:sz w:val="28"/>
          <w:szCs w:val="28"/>
        </w:rPr>
      </w:pP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xml:space="preserve">Порядком включения аккредитованных органов по оценке соответствия </w:t>
      </w:r>
      <w:r w:rsidRPr="000D698F">
        <w:rPr>
          <w:sz w:val="28"/>
          <w:szCs w:val="28"/>
        </w:rPr>
        <w:br/>
        <w:t xml:space="preserve">(в том числе органов по сертификации, испытательных лабораторий (центров) </w:t>
      </w:r>
      <w:r w:rsidRPr="000D698F">
        <w:rPr>
          <w:sz w:val="28"/>
          <w:szCs w:val="28"/>
        </w:rPr>
        <w:br/>
        <w:t>в единый реестр органов по оценке соответствия Евразийского экономического союза, а также его фор</w:t>
      </w:r>
      <w:r w:rsidR="00D85F8A" w:rsidRPr="000D698F">
        <w:rPr>
          <w:sz w:val="28"/>
          <w:szCs w:val="28"/>
        </w:rPr>
        <w:t>мирования и ведения, утвержденны</w:t>
      </w:r>
      <w:r w:rsidRPr="000D698F">
        <w:rPr>
          <w:sz w:val="28"/>
          <w:szCs w:val="28"/>
        </w:rPr>
        <w:t>м решением Совета Евразийской экономической комиссии от 05</w:t>
      </w:r>
      <w:r w:rsidR="00D40133" w:rsidRPr="000D698F">
        <w:rPr>
          <w:sz w:val="28"/>
          <w:szCs w:val="28"/>
        </w:rPr>
        <w:t>.12.</w:t>
      </w:r>
      <w:r w:rsidRPr="000D698F">
        <w:rPr>
          <w:sz w:val="28"/>
          <w:szCs w:val="28"/>
        </w:rPr>
        <w:t xml:space="preserve">2018 № 100, определены критерии включения аккредитованных органов по оценке соответствия (в том числе органов по сертификации, испытательных лабораторий (центров)) в единый </w:t>
      </w:r>
      <w:r w:rsidRPr="000D698F">
        <w:rPr>
          <w:sz w:val="28"/>
          <w:szCs w:val="28"/>
        </w:rPr>
        <w:br/>
        <w:t xml:space="preserve">реестр органов по оценке соответствия Евразийского экономического союза </w:t>
      </w:r>
      <w:r w:rsidRPr="000D698F">
        <w:rPr>
          <w:sz w:val="28"/>
          <w:szCs w:val="28"/>
        </w:rPr>
        <w:br/>
        <w:t>(далее также – Порядок, Критерии включения, Единый реестр, Союз).</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При этом, исключение аккредитованного лица из национальной части Единого реестра осуществляется по решению Федеральной службы по аккредитации. Основаниями для принятия такого решения в том числе являются:</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а) наличие в Федеральной службе по аккредитации фактов, подтверждающих, что аккредитованное лицо перестало соответствовать Критериям включения;</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б) принятие Межведомственным советом решения об исключении аккредитованного лица из национальной части Единого реестра.</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xml:space="preserve">Пунктами 8 и 9 Критериев включения установлены требования, </w:t>
      </w:r>
      <w:r w:rsidRPr="000D698F">
        <w:rPr>
          <w:sz w:val="28"/>
          <w:szCs w:val="28"/>
        </w:rPr>
        <w:br/>
        <w:t>при соответствии которым</w:t>
      </w:r>
      <w:r w:rsidR="00D85F8A" w:rsidRPr="000D698F">
        <w:rPr>
          <w:sz w:val="28"/>
          <w:szCs w:val="28"/>
        </w:rPr>
        <w:t>,</w:t>
      </w:r>
      <w:r w:rsidRPr="000D698F">
        <w:rPr>
          <w:sz w:val="28"/>
          <w:szCs w:val="28"/>
        </w:rPr>
        <w:t xml:space="preserve"> органы по сертификации и испытательные лаборатории включаются в Единый реестр. При этом подпунктами «д» и «е» пункта 8, подпунктами «г» и «д» пункта 9 Критериев включения установлено:</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наличие выявленных случаев массовой и (или) систематической необоснованной выдачи документов;</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наличие выявленных в течение 1 года случаев необоснованной выдачи документов, повлекших за собой выпуск в обращение продукции, несоответствующей требованиям законодательства государства-члена или нормативных документов (для продукции, включенной в Единый перечень) либо требованиям технических регламентов Союза.</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lastRenderedPageBreak/>
        <w:t>Пунктом 2 Порядка установлены следующие понятия, которые означают следующее:</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«необоснованная выдача документов» - выдача документов об оценке соответствия с нарушениями процедур оценки соответствия, предусмотренными настоящим Порядком;</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 xml:space="preserve">«массовая необоснованная выдача документов» - необоснованная выдача документов (не менее трех) об оценке соответствия продукции требованиям одного или нескольких технических регламентов Союза, выявленная органом </w:t>
      </w:r>
      <w:r w:rsidRPr="000D698F">
        <w:rPr>
          <w:bCs/>
          <w:sz w:val="28"/>
          <w:szCs w:val="28"/>
        </w:rPr>
        <w:br/>
        <w:t xml:space="preserve">по аккредитации государства - члена Союза в течение одной оценки аккредитованного органа по оценке соответствия и (или) одного мероприятия </w:t>
      </w:r>
      <w:r w:rsidRPr="000D698F">
        <w:rPr>
          <w:bCs/>
          <w:sz w:val="28"/>
          <w:szCs w:val="28"/>
        </w:rPr>
        <w:br/>
        <w:t xml:space="preserve">по контролю за деятельностью аккредитованного органа по оценке соответствия </w:t>
      </w:r>
      <w:r w:rsidRPr="000D698F">
        <w:rPr>
          <w:bCs/>
          <w:sz w:val="28"/>
          <w:szCs w:val="28"/>
        </w:rPr>
        <w:br/>
        <w:t>(в случае, если проведение такого мероприятия по контролю предусмотрено законодательством государства - члена Союза);</w:t>
      </w:r>
    </w:p>
    <w:p w:rsidR="004215A7" w:rsidRPr="000D698F" w:rsidRDefault="004215A7" w:rsidP="000D698F">
      <w:pPr>
        <w:shd w:val="clear" w:color="auto" w:fill="FFFFFF"/>
        <w:spacing w:line="264" w:lineRule="auto"/>
        <w:ind w:firstLine="709"/>
        <w:jc w:val="both"/>
        <w:rPr>
          <w:sz w:val="28"/>
          <w:szCs w:val="28"/>
        </w:rPr>
      </w:pPr>
      <w:r w:rsidRPr="000D698F">
        <w:rPr>
          <w:bCs/>
          <w:sz w:val="28"/>
          <w:szCs w:val="28"/>
        </w:rPr>
        <w:t xml:space="preserve">«систематическая необоснованная выдача документов» - неоднократно повторяющаяся (не менее 3 раз) в течение 1 года необоснованная выдача документов об оценке соответствия, выявленная в установленном порядке, вне зависимости </w:t>
      </w:r>
      <w:r w:rsidRPr="000D698F">
        <w:rPr>
          <w:bCs/>
          <w:sz w:val="28"/>
          <w:szCs w:val="28"/>
        </w:rPr>
        <w:br/>
        <w:t>от количества необоснованно выданных документов об оценке соответствия.</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К нарушениям органами по сертификации процедур оценки соответствия, повлекшим необоснованную выдачу документов пунктом 8(1) Порядка отнесены:</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а) нарушение области аккредитации;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б) нарушение схемы сертификации;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в) нарушение требований по идентификации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г) нарушение требований к отбору образцов (проб)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д) нарушение требований к формированию программы исследований (испытаний) и измерений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 xml:space="preserve">е) нарушение требований к проведению исследований (испытаний) </w:t>
      </w:r>
      <w:r w:rsidRPr="000D698F">
        <w:rPr>
          <w:bCs/>
          <w:sz w:val="28"/>
          <w:szCs w:val="28"/>
        </w:rPr>
        <w:br/>
        <w:t>и измерений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 xml:space="preserve">К нарушениям испытательными лабораториями (центрами) процедур оценки соответствия, повлекшим необоснованную выдачу документов, в соответствии </w:t>
      </w:r>
      <w:r w:rsidRPr="000D698F">
        <w:rPr>
          <w:bCs/>
          <w:sz w:val="28"/>
          <w:szCs w:val="28"/>
        </w:rPr>
        <w:br/>
        <w:t>с пунктом 9(1) Порядка относятся:</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а) нарушение области аккредитации;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б) нарушение требований к отбору образцов (проб)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в) нарушение требований к подготовке или обработке испытываемого образца;</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г) нарушение применения метода исследования (испытания) и измерения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д) нарушение требований к средствам измерений, испытательному оборудованию, вспомогательному оборудованию;</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е) нарушение условий проведения исследований (испытаний) и измерений продукции;</w:t>
      </w:r>
    </w:p>
    <w:p w:rsidR="004215A7" w:rsidRPr="000D698F" w:rsidRDefault="004215A7" w:rsidP="000D698F">
      <w:pPr>
        <w:shd w:val="clear" w:color="auto" w:fill="FFFFFF"/>
        <w:spacing w:line="264" w:lineRule="auto"/>
        <w:ind w:firstLine="709"/>
        <w:jc w:val="both"/>
        <w:rPr>
          <w:bCs/>
          <w:sz w:val="28"/>
          <w:szCs w:val="28"/>
        </w:rPr>
      </w:pPr>
      <w:r w:rsidRPr="000D698F">
        <w:rPr>
          <w:bCs/>
          <w:sz w:val="28"/>
          <w:szCs w:val="28"/>
        </w:rPr>
        <w:t>ж) нарушение требований к персоналу.</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lastRenderedPageBreak/>
        <w:t xml:space="preserve">Фактом, свидетельствующим о массовой необоснованной выдаче документов, является выявление случаев необоснованной выдачи документов об оценке соответствия в рамках одной оценки органа (подтверждение компетентности) </w:t>
      </w:r>
      <w:r w:rsidRPr="000D698F">
        <w:rPr>
          <w:sz w:val="28"/>
          <w:szCs w:val="28"/>
        </w:rPr>
        <w:br/>
        <w:t>по сертификации, испытательной лаборатории (центра) и (или) одного мероприятия по контролю (надзору) за деятельностью органа по оценке соответствия.</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Фактом, свидетельствующим о систематической необоснованной выдаче документов, является выявление в установленном порядке неоднократно повторяющейся (не менее 3 раз) в течение 1 года необоснованной выдачи документов об оценке соответствия, вне зависимости от их количества.</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xml:space="preserve">Кроме того, подпунктом «а» пункта 4 Критериев оценки установлено требование для включения аккредитованного лица в национальную часть Единого реестра, а именно: отсутствие в составе учредителей или участников юридического лица, аккредитованного в национальной системе аккредитации, составе ключевого персонала аккредитованного лица физических лиц, которые в течение 2 лет, предшествующих дню подачи заявления о включении в национальную часть Единого реестра являлись учредителями или участниками юридического лица, аккредитованного в национальной системе аккредитации, или осуществляли трудовую деятельность в составе ключевого персонала иных аккредитованных лиц </w:t>
      </w:r>
      <w:r w:rsidRPr="000D698F">
        <w:rPr>
          <w:sz w:val="28"/>
          <w:szCs w:val="28"/>
        </w:rPr>
        <w:br/>
        <w:t xml:space="preserve">в качестве руководителя органа по сертификации, руководителя испытательной лаборатории (центра), их заместителей, или принимали непосредственное участие </w:t>
      </w:r>
      <w:r w:rsidRPr="000D698F">
        <w:rPr>
          <w:sz w:val="28"/>
          <w:szCs w:val="28"/>
        </w:rPr>
        <w:br/>
        <w:t xml:space="preserve">в работах по оценке соответствия и были уполномочены на утверждение (подписание) документов об оценке (о подтверждении) соответствия, если </w:t>
      </w:r>
      <w:r w:rsidRPr="000D698F">
        <w:rPr>
          <w:sz w:val="28"/>
          <w:szCs w:val="28"/>
        </w:rPr>
        <w:br/>
        <w:t>в отношении таких аккредитованных лиц выявлены случаи массовой необоснованной выдачи документов об оценке (о подтверждении) соответствия или случаи систематической необоснованной выдачи документов об оценке (о подтверждении) соответствия, допущенные в период осуществления трудовой деятельности таких лиц в указанных аккредитованных лицах.</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При этом, исходя из положений пункта 4 Критериев оценки, вышеуказанное требование распространяется на следующих лиц:</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учредитель(и) юридического лица, аккредитованного в национальной системе аккредитации;</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участник(и) юридического лица, аккредитованного в национальной системе аккредитации;</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ключевой персонал аккредитованного лица.</w:t>
      </w:r>
    </w:p>
    <w:p w:rsidR="004215A7" w:rsidRPr="000D698F" w:rsidRDefault="004215A7" w:rsidP="000D698F">
      <w:pPr>
        <w:autoSpaceDE w:val="0"/>
        <w:autoSpaceDN w:val="0"/>
        <w:adjustRightInd w:val="0"/>
        <w:spacing w:line="264" w:lineRule="auto"/>
        <w:ind w:firstLine="709"/>
        <w:jc w:val="both"/>
        <w:rPr>
          <w:sz w:val="28"/>
          <w:szCs w:val="28"/>
        </w:rPr>
      </w:pPr>
      <w:r w:rsidRPr="000D698F">
        <w:rPr>
          <w:sz w:val="28"/>
          <w:szCs w:val="28"/>
        </w:rPr>
        <w:t>Согласно ранее данным разъяснениям</w:t>
      </w:r>
      <w:r w:rsidR="00C221B6" w:rsidRPr="000D698F">
        <w:rPr>
          <w:sz w:val="28"/>
          <w:szCs w:val="28"/>
        </w:rPr>
        <w:t xml:space="preserve"> (</w:t>
      </w:r>
      <w:r w:rsidR="000D698F" w:rsidRPr="000D698F">
        <w:rPr>
          <w:sz w:val="28"/>
          <w:szCs w:val="28"/>
        </w:rPr>
        <w:t>текст документа в справочно-правовой системе «</w:t>
      </w:r>
      <w:proofErr w:type="spellStart"/>
      <w:r w:rsidR="000D698F" w:rsidRPr="000D698F">
        <w:rPr>
          <w:sz w:val="28"/>
          <w:szCs w:val="28"/>
        </w:rPr>
        <w:t>КонсультантПлюс</w:t>
      </w:r>
      <w:proofErr w:type="spellEnd"/>
      <w:r w:rsidR="000D698F" w:rsidRPr="000D698F">
        <w:rPr>
          <w:sz w:val="28"/>
          <w:szCs w:val="28"/>
        </w:rPr>
        <w:t xml:space="preserve">» приведен в соответствии с публикацией на сайте </w:t>
      </w:r>
      <w:hyperlink r:id="rId8" w:history="1">
        <w:r w:rsidR="000D698F" w:rsidRPr="000D698F">
          <w:rPr>
            <w:sz w:val="28"/>
            <w:szCs w:val="28"/>
          </w:rPr>
          <w:t>https://fsa.gov.ru/</w:t>
        </w:r>
      </w:hyperlink>
      <w:r w:rsidR="000D698F" w:rsidRPr="000D698F">
        <w:rPr>
          <w:sz w:val="28"/>
          <w:szCs w:val="28"/>
        </w:rPr>
        <w:t xml:space="preserve"> по состоянию на 03.01.2020) </w:t>
      </w:r>
      <w:r w:rsidRPr="000D698F">
        <w:rPr>
          <w:sz w:val="28"/>
          <w:szCs w:val="28"/>
        </w:rPr>
        <w:t>по вопросам применения постановления Правительства Российской Федерации от 21.09.2019 № 1236</w:t>
      </w:r>
      <w:r w:rsidR="000D698F">
        <w:rPr>
          <w:sz w:val="28"/>
          <w:szCs w:val="28"/>
        </w:rPr>
        <w:br/>
      </w:r>
      <w:r w:rsidRPr="000D698F">
        <w:rPr>
          <w:sz w:val="28"/>
          <w:szCs w:val="28"/>
        </w:rPr>
        <w:t xml:space="preserve">«О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w:t>
      </w:r>
      <w:r w:rsidRPr="000D698F">
        <w:rPr>
          <w:sz w:val="28"/>
          <w:szCs w:val="28"/>
        </w:rPr>
        <w:lastRenderedPageBreak/>
        <w:t>по оценке соответствия Евразийского экономического союза и об их исключении</w:t>
      </w:r>
      <w:r w:rsidR="000D698F">
        <w:rPr>
          <w:sz w:val="28"/>
          <w:szCs w:val="28"/>
        </w:rPr>
        <w:br/>
      </w:r>
      <w:r w:rsidRPr="000D698F">
        <w:rPr>
          <w:sz w:val="28"/>
          <w:szCs w:val="28"/>
        </w:rPr>
        <w:t>из него», утвержденным Росаккредитацией:</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под учредителями понимаются физические и (или) юридические лица, участвующие в создании юридического лица;</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под участниками юридического лица понимаются физические и (или) юридические лица, которые имеют корпоративные (членские) права в отношении юридического лица.</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Вместе с тем, из положений подпункта «а» пункта 4 Критериев оценки также следует, что к ключевому персоналу аккредитованного юридического лица относятся:</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руководитель органа по сертификации, его заместитель;</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руководитель испытательной лаборатории (центра), его заместитель;</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xml:space="preserve">- работники, принимавшие непосредственное участие в работах по оценке соответствия и уполномоченные на утверждение (подписание) документов </w:t>
      </w:r>
      <w:r w:rsidRPr="000D698F">
        <w:rPr>
          <w:sz w:val="28"/>
          <w:szCs w:val="28"/>
        </w:rPr>
        <w:br/>
        <w:t xml:space="preserve">об оценке (о подтверждении) соответствия, в отношении которых был установлен факт необоснованной выдачи. </w:t>
      </w:r>
    </w:p>
    <w:p w:rsidR="004215A7" w:rsidRPr="000D698F" w:rsidRDefault="004215A7" w:rsidP="000D698F">
      <w:pPr>
        <w:shd w:val="clear" w:color="auto" w:fill="FFFFFF"/>
        <w:spacing w:line="264" w:lineRule="auto"/>
        <w:ind w:firstLine="709"/>
        <w:jc w:val="both"/>
        <w:rPr>
          <w:sz w:val="28"/>
          <w:szCs w:val="28"/>
        </w:rPr>
      </w:pPr>
      <w:r w:rsidRPr="000D698F">
        <w:rPr>
          <w:sz w:val="28"/>
          <w:szCs w:val="28"/>
        </w:rPr>
        <w:t xml:space="preserve">Учитывая вышеизложенное, если работники претендующего на включение </w:t>
      </w:r>
      <w:r w:rsidRPr="000D698F">
        <w:rPr>
          <w:sz w:val="28"/>
          <w:szCs w:val="28"/>
        </w:rPr>
        <w:br/>
        <w:t xml:space="preserve">в национальную часть Единого реестра </w:t>
      </w:r>
      <w:r w:rsidR="00EF31FC">
        <w:rPr>
          <w:sz w:val="28"/>
          <w:szCs w:val="28"/>
        </w:rPr>
        <w:t>аккредитованного лица</w:t>
      </w:r>
      <w:r w:rsidRPr="000D698F">
        <w:rPr>
          <w:sz w:val="28"/>
          <w:szCs w:val="28"/>
        </w:rPr>
        <w:t xml:space="preserve"> осуществляли трудовую деятельность в составе ключевого персонала аккредитованных лиц, </w:t>
      </w:r>
      <w:r w:rsidRPr="000D698F">
        <w:rPr>
          <w:sz w:val="28"/>
          <w:szCs w:val="28"/>
        </w:rPr>
        <w:br/>
        <w:t xml:space="preserve">в отношении которых были выявлены случаи массовой необоснованной выдачи документов об оценке (о подтверждении) соответствия или случаи систематической необоснованной выдачи документов об оценке (о подтверждении) соответствия, допущенные в период осуществления их трудовой деятельности в указанных аккредитованных лицах, </w:t>
      </w:r>
      <w:r w:rsidR="00EF31FC">
        <w:rPr>
          <w:sz w:val="28"/>
          <w:szCs w:val="28"/>
        </w:rPr>
        <w:t>то претендующее</w:t>
      </w:r>
      <w:r w:rsidR="00EF31FC" w:rsidRPr="00EF31FC">
        <w:rPr>
          <w:sz w:val="28"/>
          <w:szCs w:val="28"/>
        </w:rPr>
        <w:t xml:space="preserve"> на включение в национальную часть Единого реестра аккредитованн</w:t>
      </w:r>
      <w:r w:rsidR="00EF31FC">
        <w:rPr>
          <w:sz w:val="28"/>
          <w:szCs w:val="28"/>
        </w:rPr>
        <w:t>ое лицо не буде</w:t>
      </w:r>
      <w:r w:rsidR="00EF31FC" w:rsidRPr="00EF31FC">
        <w:rPr>
          <w:sz w:val="28"/>
          <w:szCs w:val="28"/>
        </w:rPr>
        <w:t xml:space="preserve">т </w:t>
      </w:r>
      <w:r w:rsidRPr="000D698F">
        <w:rPr>
          <w:sz w:val="28"/>
          <w:szCs w:val="28"/>
        </w:rPr>
        <w:t xml:space="preserve">соответствовать Критериям оценки </w:t>
      </w:r>
      <w:r w:rsidRPr="000D698F">
        <w:rPr>
          <w:sz w:val="28"/>
          <w:szCs w:val="28"/>
        </w:rPr>
        <w:br/>
        <w:t xml:space="preserve">в течение 2 лет и/или Критериям включения в течение 1 года с момента последнего выявленного случая массовой необоснованной выдачи документов об оценке </w:t>
      </w:r>
      <w:r w:rsidRPr="000D698F">
        <w:rPr>
          <w:sz w:val="28"/>
          <w:szCs w:val="28"/>
        </w:rPr>
        <w:br/>
        <w:t>(о подтверждении) соответствия или случая систематической необоснованной выдачи документов об оценке (о подтверждении) соответствия.</w:t>
      </w:r>
    </w:p>
    <w:p w:rsidR="00751B3A" w:rsidRDefault="00751B3A" w:rsidP="00EF41CF">
      <w:pPr>
        <w:outlineLvl w:val="0"/>
        <w:rPr>
          <w:b/>
          <w:bCs/>
          <w:sz w:val="20"/>
          <w:szCs w:val="20"/>
        </w:rPr>
      </w:pPr>
      <w:bookmarkStart w:id="0" w:name="_GoBack"/>
      <w:bookmarkEnd w:id="0"/>
    </w:p>
    <w:sectPr w:rsidR="00751B3A" w:rsidSect="00726E72">
      <w:headerReference w:type="even" r:id="rId9"/>
      <w:headerReference w:type="default" r:id="rId10"/>
      <w:pgSz w:w="11906" w:h="16838" w:code="9"/>
      <w:pgMar w:top="1134" w:right="567" w:bottom="1134"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A8" w:rsidRDefault="00DE5FA8">
      <w:r>
        <w:separator/>
      </w:r>
    </w:p>
  </w:endnote>
  <w:endnote w:type="continuationSeparator" w:id="0">
    <w:p w:rsidR="00DE5FA8" w:rsidRDefault="00D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A8" w:rsidRDefault="00DE5FA8">
      <w:r>
        <w:separator/>
      </w:r>
    </w:p>
  </w:footnote>
  <w:footnote w:type="continuationSeparator" w:id="0">
    <w:p w:rsidR="00DE5FA8" w:rsidRDefault="00D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DF" w:rsidRDefault="00B574DF" w:rsidP="001676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F31FC">
      <w:rPr>
        <w:rStyle w:val="a6"/>
        <w:noProof/>
      </w:rPr>
      <w:t>4</w:t>
    </w:r>
    <w:r>
      <w:rPr>
        <w:rStyle w:val="a6"/>
      </w:rPr>
      <w:fldChar w:fldCharType="end"/>
    </w:r>
  </w:p>
  <w:p w:rsidR="00B574DF" w:rsidRDefault="00B574DF">
    <w:pPr>
      <w:pStyle w:val="a4"/>
    </w:pPr>
  </w:p>
  <w:p w:rsidR="00B574DF" w:rsidRDefault="00B574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74316"/>
      <w:docPartObj>
        <w:docPartGallery w:val="Page Numbers (Top of Page)"/>
        <w:docPartUnique/>
      </w:docPartObj>
    </w:sdtPr>
    <w:sdtEndPr/>
    <w:sdtContent>
      <w:p w:rsidR="00B574DF" w:rsidRDefault="00B574DF">
        <w:pPr>
          <w:pStyle w:val="a4"/>
          <w:jc w:val="center"/>
        </w:pPr>
        <w:r>
          <w:fldChar w:fldCharType="begin"/>
        </w:r>
        <w:r>
          <w:instrText>PAGE   \* MERGEFORMAT</w:instrText>
        </w:r>
        <w:r>
          <w:fldChar w:fldCharType="separate"/>
        </w:r>
        <w:r w:rsidR="00EF31FC">
          <w:rPr>
            <w:noProof/>
          </w:rPr>
          <w:t>3</w:t>
        </w:r>
        <w:r>
          <w:fldChar w:fldCharType="end"/>
        </w:r>
      </w:p>
    </w:sdtContent>
  </w:sdt>
  <w:p w:rsidR="00B574DF" w:rsidRDefault="00B574DF" w:rsidP="00D26EA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E8E"/>
    <w:multiLevelType w:val="hybridMultilevel"/>
    <w:tmpl w:val="8BD4CC24"/>
    <w:lvl w:ilvl="0" w:tplc="F88CDB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6A527C8"/>
    <w:multiLevelType w:val="hybridMultilevel"/>
    <w:tmpl w:val="98CC72FC"/>
    <w:lvl w:ilvl="0" w:tplc="DEFE7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FC694A"/>
    <w:multiLevelType w:val="hybridMultilevel"/>
    <w:tmpl w:val="116A707E"/>
    <w:lvl w:ilvl="0" w:tplc="8330380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A26DC2"/>
    <w:multiLevelType w:val="hybridMultilevel"/>
    <w:tmpl w:val="BD68BFCA"/>
    <w:lvl w:ilvl="0" w:tplc="7542D7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D2D0353"/>
    <w:multiLevelType w:val="hybridMultilevel"/>
    <w:tmpl w:val="6F08E5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07DB7"/>
    <w:multiLevelType w:val="hybridMultilevel"/>
    <w:tmpl w:val="5738566C"/>
    <w:lvl w:ilvl="0" w:tplc="FB86D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EF0A65"/>
    <w:multiLevelType w:val="hybridMultilevel"/>
    <w:tmpl w:val="98CC72FC"/>
    <w:lvl w:ilvl="0" w:tplc="DEFE7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8322A3"/>
    <w:multiLevelType w:val="hybridMultilevel"/>
    <w:tmpl w:val="564C0196"/>
    <w:lvl w:ilvl="0" w:tplc="43F0C58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37F4960"/>
    <w:multiLevelType w:val="hybridMultilevel"/>
    <w:tmpl w:val="330A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1010D2"/>
    <w:multiLevelType w:val="hybridMultilevel"/>
    <w:tmpl w:val="2166C27E"/>
    <w:lvl w:ilvl="0" w:tplc="E5DE1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7F44E5"/>
    <w:multiLevelType w:val="hybridMultilevel"/>
    <w:tmpl w:val="8B2C894E"/>
    <w:lvl w:ilvl="0" w:tplc="A7E45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945C53"/>
    <w:multiLevelType w:val="hybridMultilevel"/>
    <w:tmpl w:val="630056E8"/>
    <w:lvl w:ilvl="0" w:tplc="AAF4F540">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0E7C35"/>
    <w:multiLevelType w:val="hybridMultilevel"/>
    <w:tmpl w:val="EFC4C41C"/>
    <w:lvl w:ilvl="0" w:tplc="667E577E">
      <w:start w:val="1"/>
      <w:numFmt w:val="decimal"/>
      <w:lvlText w:val="%1)"/>
      <w:lvlJc w:val="left"/>
      <w:pPr>
        <w:ind w:left="720" w:hanging="360"/>
      </w:pPr>
      <w:rPr>
        <w:rFonts w:ascii="Calibri" w:hAnsi="Calibri" w:cs="Times New Roman" w:hint="default"/>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8851451"/>
    <w:multiLevelType w:val="hybridMultilevel"/>
    <w:tmpl w:val="4AB22346"/>
    <w:lvl w:ilvl="0" w:tplc="DE446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B392E11"/>
    <w:multiLevelType w:val="hybridMultilevel"/>
    <w:tmpl w:val="B29469A8"/>
    <w:lvl w:ilvl="0" w:tplc="123ABB9A">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B4B6E85"/>
    <w:multiLevelType w:val="hybridMultilevel"/>
    <w:tmpl w:val="D24A094C"/>
    <w:lvl w:ilvl="0" w:tplc="D50E3950">
      <w:start w:val="1"/>
      <w:numFmt w:val="bullet"/>
      <w:lvlText w:val=""/>
      <w:lvlJc w:val="left"/>
      <w:pPr>
        <w:ind w:left="1571" w:hanging="360"/>
      </w:pPr>
      <w:rPr>
        <w:rFonts w:ascii="Symbol" w:hAnsi="Symbol" w:hint="default"/>
      </w:rPr>
    </w:lvl>
    <w:lvl w:ilvl="1" w:tplc="1B143D3E">
      <w:numFmt w:val="bullet"/>
      <w:lvlText w:val="•"/>
      <w:lvlJc w:val="left"/>
      <w:pPr>
        <w:ind w:left="2291" w:hanging="360"/>
      </w:pPr>
      <w:rPr>
        <w:rFonts w:ascii="Times New Roman" w:eastAsia="Times New Roman" w:hAnsi="Times New Roman"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3"/>
  </w:num>
  <w:num w:numId="3">
    <w:abstractNumId w:val="8"/>
  </w:num>
  <w:num w:numId="4">
    <w:abstractNumId w:val="3"/>
  </w:num>
  <w:num w:numId="5">
    <w:abstractNumId w:val="10"/>
  </w:num>
  <w:num w:numId="6">
    <w:abstractNumId w:val="4"/>
  </w:num>
  <w:num w:numId="7">
    <w:abstractNumId w:val="0"/>
  </w:num>
  <w:num w:numId="8">
    <w:abstractNumId w:val="15"/>
  </w:num>
  <w:num w:numId="9">
    <w:abstractNumId w:val="2"/>
  </w:num>
  <w:num w:numId="10">
    <w:abstractNumId w:val="1"/>
  </w:num>
  <w:num w:numId="11">
    <w:abstractNumId w:val="14"/>
  </w:num>
  <w:num w:numId="12">
    <w:abstractNumId w:val="11"/>
  </w:num>
  <w:num w:numId="13">
    <w:abstractNumId w:val="9"/>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5A"/>
    <w:rsid w:val="00000C99"/>
    <w:rsid w:val="00000F65"/>
    <w:rsid w:val="00002725"/>
    <w:rsid w:val="00002F5A"/>
    <w:rsid w:val="000042F6"/>
    <w:rsid w:val="00004FE0"/>
    <w:rsid w:val="00005526"/>
    <w:rsid w:val="00011B70"/>
    <w:rsid w:val="0001247E"/>
    <w:rsid w:val="00012EDB"/>
    <w:rsid w:val="00013503"/>
    <w:rsid w:val="00013CB2"/>
    <w:rsid w:val="00014D8E"/>
    <w:rsid w:val="000151C4"/>
    <w:rsid w:val="000174AF"/>
    <w:rsid w:val="00020367"/>
    <w:rsid w:val="000214C8"/>
    <w:rsid w:val="00021E25"/>
    <w:rsid w:val="00025D72"/>
    <w:rsid w:val="0002686E"/>
    <w:rsid w:val="000278F2"/>
    <w:rsid w:val="00027CC6"/>
    <w:rsid w:val="00030149"/>
    <w:rsid w:val="0003032A"/>
    <w:rsid w:val="0003085F"/>
    <w:rsid w:val="000315FC"/>
    <w:rsid w:val="0003190E"/>
    <w:rsid w:val="00031F6D"/>
    <w:rsid w:val="000331FE"/>
    <w:rsid w:val="00033B39"/>
    <w:rsid w:val="00034056"/>
    <w:rsid w:val="00036872"/>
    <w:rsid w:val="00037626"/>
    <w:rsid w:val="00040270"/>
    <w:rsid w:val="000408FF"/>
    <w:rsid w:val="00043F7F"/>
    <w:rsid w:val="0004447E"/>
    <w:rsid w:val="00045366"/>
    <w:rsid w:val="000453F7"/>
    <w:rsid w:val="00047036"/>
    <w:rsid w:val="000477EF"/>
    <w:rsid w:val="00047FE9"/>
    <w:rsid w:val="00050A20"/>
    <w:rsid w:val="00050A86"/>
    <w:rsid w:val="0005415E"/>
    <w:rsid w:val="0005445B"/>
    <w:rsid w:val="00057180"/>
    <w:rsid w:val="0005750B"/>
    <w:rsid w:val="00057771"/>
    <w:rsid w:val="000579AA"/>
    <w:rsid w:val="00057A23"/>
    <w:rsid w:val="00057B03"/>
    <w:rsid w:val="00057CC0"/>
    <w:rsid w:val="0006014F"/>
    <w:rsid w:val="00063877"/>
    <w:rsid w:val="0006502E"/>
    <w:rsid w:val="00065064"/>
    <w:rsid w:val="0006573C"/>
    <w:rsid w:val="0006708A"/>
    <w:rsid w:val="0006726E"/>
    <w:rsid w:val="000701C5"/>
    <w:rsid w:val="00070EEE"/>
    <w:rsid w:val="00074043"/>
    <w:rsid w:val="00074E09"/>
    <w:rsid w:val="000758DE"/>
    <w:rsid w:val="000763D0"/>
    <w:rsid w:val="00076B57"/>
    <w:rsid w:val="0007712B"/>
    <w:rsid w:val="00077354"/>
    <w:rsid w:val="00080F32"/>
    <w:rsid w:val="00082C21"/>
    <w:rsid w:val="0008334F"/>
    <w:rsid w:val="00084246"/>
    <w:rsid w:val="000871EF"/>
    <w:rsid w:val="0008796A"/>
    <w:rsid w:val="000947BF"/>
    <w:rsid w:val="00094D46"/>
    <w:rsid w:val="0009655B"/>
    <w:rsid w:val="000966D7"/>
    <w:rsid w:val="000A0300"/>
    <w:rsid w:val="000A08FF"/>
    <w:rsid w:val="000A0FBB"/>
    <w:rsid w:val="000A21F1"/>
    <w:rsid w:val="000A3651"/>
    <w:rsid w:val="000A44E1"/>
    <w:rsid w:val="000A4A41"/>
    <w:rsid w:val="000A7169"/>
    <w:rsid w:val="000A7414"/>
    <w:rsid w:val="000A759E"/>
    <w:rsid w:val="000A7CB7"/>
    <w:rsid w:val="000B1A78"/>
    <w:rsid w:val="000B29EB"/>
    <w:rsid w:val="000B5A55"/>
    <w:rsid w:val="000B6746"/>
    <w:rsid w:val="000B6E4C"/>
    <w:rsid w:val="000B724E"/>
    <w:rsid w:val="000C01CD"/>
    <w:rsid w:val="000C0269"/>
    <w:rsid w:val="000C357E"/>
    <w:rsid w:val="000C3597"/>
    <w:rsid w:val="000C5784"/>
    <w:rsid w:val="000C6A69"/>
    <w:rsid w:val="000C7ED2"/>
    <w:rsid w:val="000D07EF"/>
    <w:rsid w:val="000D09B8"/>
    <w:rsid w:val="000D136D"/>
    <w:rsid w:val="000D21D1"/>
    <w:rsid w:val="000D2219"/>
    <w:rsid w:val="000D2EE8"/>
    <w:rsid w:val="000D3C87"/>
    <w:rsid w:val="000D4600"/>
    <w:rsid w:val="000D4CC6"/>
    <w:rsid w:val="000D4EF7"/>
    <w:rsid w:val="000D698F"/>
    <w:rsid w:val="000D79D8"/>
    <w:rsid w:val="000E1A78"/>
    <w:rsid w:val="000F0633"/>
    <w:rsid w:val="000F06D0"/>
    <w:rsid w:val="000F088A"/>
    <w:rsid w:val="000F1108"/>
    <w:rsid w:val="000F13EA"/>
    <w:rsid w:val="000F248A"/>
    <w:rsid w:val="000F7BD5"/>
    <w:rsid w:val="00100A3F"/>
    <w:rsid w:val="00103C34"/>
    <w:rsid w:val="00104D0B"/>
    <w:rsid w:val="00105A6F"/>
    <w:rsid w:val="00105B92"/>
    <w:rsid w:val="00106838"/>
    <w:rsid w:val="00106848"/>
    <w:rsid w:val="00107716"/>
    <w:rsid w:val="00107DF1"/>
    <w:rsid w:val="001101A6"/>
    <w:rsid w:val="00110404"/>
    <w:rsid w:val="00111BDF"/>
    <w:rsid w:val="00114531"/>
    <w:rsid w:val="00114F4F"/>
    <w:rsid w:val="0011553C"/>
    <w:rsid w:val="001156A9"/>
    <w:rsid w:val="00115C98"/>
    <w:rsid w:val="001163A8"/>
    <w:rsid w:val="001170CF"/>
    <w:rsid w:val="00117AE0"/>
    <w:rsid w:val="00120583"/>
    <w:rsid w:val="00121760"/>
    <w:rsid w:val="001238A6"/>
    <w:rsid w:val="00124FF6"/>
    <w:rsid w:val="001319BD"/>
    <w:rsid w:val="00131A05"/>
    <w:rsid w:val="00131F57"/>
    <w:rsid w:val="00132D16"/>
    <w:rsid w:val="00133F1B"/>
    <w:rsid w:val="001361B3"/>
    <w:rsid w:val="001372AE"/>
    <w:rsid w:val="001408DB"/>
    <w:rsid w:val="00140B37"/>
    <w:rsid w:val="00140DFB"/>
    <w:rsid w:val="00141679"/>
    <w:rsid w:val="001417BB"/>
    <w:rsid w:val="00144342"/>
    <w:rsid w:val="00144FE9"/>
    <w:rsid w:val="00145807"/>
    <w:rsid w:val="00146605"/>
    <w:rsid w:val="00150CDF"/>
    <w:rsid w:val="001513B1"/>
    <w:rsid w:val="001523F0"/>
    <w:rsid w:val="00155143"/>
    <w:rsid w:val="00155F27"/>
    <w:rsid w:val="001567F8"/>
    <w:rsid w:val="00156EBA"/>
    <w:rsid w:val="001572AA"/>
    <w:rsid w:val="00157E5B"/>
    <w:rsid w:val="0016123F"/>
    <w:rsid w:val="00162BC1"/>
    <w:rsid w:val="001641B2"/>
    <w:rsid w:val="0016494E"/>
    <w:rsid w:val="00164B4B"/>
    <w:rsid w:val="001659DA"/>
    <w:rsid w:val="00165FCF"/>
    <w:rsid w:val="00167429"/>
    <w:rsid w:val="001674B3"/>
    <w:rsid w:val="001676AF"/>
    <w:rsid w:val="001702A3"/>
    <w:rsid w:val="001713A3"/>
    <w:rsid w:val="0017140E"/>
    <w:rsid w:val="0017177A"/>
    <w:rsid w:val="00171D8A"/>
    <w:rsid w:val="00173156"/>
    <w:rsid w:val="001732F9"/>
    <w:rsid w:val="00174500"/>
    <w:rsid w:val="001762FA"/>
    <w:rsid w:val="00180532"/>
    <w:rsid w:val="001807D3"/>
    <w:rsid w:val="00185AB4"/>
    <w:rsid w:val="0018643C"/>
    <w:rsid w:val="00186634"/>
    <w:rsid w:val="00186915"/>
    <w:rsid w:val="00186BB0"/>
    <w:rsid w:val="00187764"/>
    <w:rsid w:val="00187C9D"/>
    <w:rsid w:val="001903DC"/>
    <w:rsid w:val="00192548"/>
    <w:rsid w:val="001933A9"/>
    <w:rsid w:val="00196FC8"/>
    <w:rsid w:val="001973D8"/>
    <w:rsid w:val="001A2B58"/>
    <w:rsid w:val="001A3529"/>
    <w:rsid w:val="001A35CB"/>
    <w:rsid w:val="001A3ACE"/>
    <w:rsid w:val="001A3B43"/>
    <w:rsid w:val="001A3FB3"/>
    <w:rsid w:val="001A5376"/>
    <w:rsid w:val="001A64EA"/>
    <w:rsid w:val="001B048E"/>
    <w:rsid w:val="001B1432"/>
    <w:rsid w:val="001B30EB"/>
    <w:rsid w:val="001B4721"/>
    <w:rsid w:val="001B4E5C"/>
    <w:rsid w:val="001B5AB5"/>
    <w:rsid w:val="001B6E3C"/>
    <w:rsid w:val="001B7070"/>
    <w:rsid w:val="001B7D4D"/>
    <w:rsid w:val="001C0FA7"/>
    <w:rsid w:val="001C108D"/>
    <w:rsid w:val="001C20DC"/>
    <w:rsid w:val="001C29C2"/>
    <w:rsid w:val="001C36CF"/>
    <w:rsid w:val="001C3FE9"/>
    <w:rsid w:val="001C403A"/>
    <w:rsid w:val="001C5C6B"/>
    <w:rsid w:val="001C62A3"/>
    <w:rsid w:val="001D073A"/>
    <w:rsid w:val="001D1E65"/>
    <w:rsid w:val="001D2004"/>
    <w:rsid w:val="001D309B"/>
    <w:rsid w:val="001D33BD"/>
    <w:rsid w:val="001D344B"/>
    <w:rsid w:val="001D391A"/>
    <w:rsid w:val="001D497A"/>
    <w:rsid w:val="001D513E"/>
    <w:rsid w:val="001D551D"/>
    <w:rsid w:val="001D5B9E"/>
    <w:rsid w:val="001D641C"/>
    <w:rsid w:val="001D7FF6"/>
    <w:rsid w:val="001E00A6"/>
    <w:rsid w:val="001E08A0"/>
    <w:rsid w:val="001E1BF8"/>
    <w:rsid w:val="001E37EA"/>
    <w:rsid w:val="001E3CF9"/>
    <w:rsid w:val="001E6D63"/>
    <w:rsid w:val="001E6FE1"/>
    <w:rsid w:val="001F057C"/>
    <w:rsid w:val="001F197A"/>
    <w:rsid w:val="001F2270"/>
    <w:rsid w:val="001F5F10"/>
    <w:rsid w:val="0020000A"/>
    <w:rsid w:val="002032E4"/>
    <w:rsid w:val="00204BD9"/>
    <w:rsid w:val="00205609"/>
    <w:rsid w:val="00206CCD"/>
    <w:rsid w:val="002072F3"/>
    <w:rsid w:val="00207423"/>
    <w:rsid w:val="002102E9"/>
    <w:rsid w:val="0021302A"/>
    <w:rsid w:val="00213AC7"/>
    <w:rsid w:val="00214982"/>
    <w:rsid w:val="00215D6B"/>
    <w:rsid w:val="0021653C"/>
    <w:rsid w:val="00216D4B"/>
    <w:rsid w:val="0021762F"/>
    <w:rsid w:val="002235EE"/>
    <w:rsid w:val="00223AE3"/>
    <w:rsid w:val="00223CCD"/>
    <w:rsid w:val="00225C75"/>
    <w:rsid w:val="00225FA4"/>
    <w:rsid w:val="0022755E"/>
    <w:rsid w:val="00230095"/>
    <w:rsid w:val="00230210"/>
    <w:rsid w:val="00230563"/>
    <w:rsid w:val="00231198"/>
    <w:rsid w:val="00231C00"/>
    <w:rsid w:val="00232181"/>
    <w:rsid w:val="00234942"/>
    <w:rsid w:val="00240460"/>
    <w:rsid w:val="002417F2"/>
    <w:rsid w:val="00242507"/>
    <w:rsid w:val="00242846"/>
    <w:rsid w:val="00242927"/>
    <w:rsid w:val="00242A8F"/>
    <w:rsid w:val="002456BA"/>
    <w:rsid w:val="002459B4"/>
    <w:rsid w:val="00245C7F"/>
    <w:rsid w:val="00246161"/>
    <w:rsid w:val="00247BC1"/>
    <w:rsid w:val="00247E02"/>
    <w:rsid w:val="0025062D"/>
    <w:rsid w:val="00252563"/>
    <w:rsid w:val="0025783C"/>
    <w:rsid w:val="00257F58"/>
    <w:rsid w:val="00261AB6"/>
    <w:rsid w:val="00261F6B"/>
    <w:rsid w:val="00262FFA"/>
    <w:rsid w:val="00263469"/>
    <w:rsid w:val="002640AE"/>
    <w:rsid w:val="002650A6"/>
    <w:rsid w:val="0026653D"/>
    <w:rsid w:val="00266B09"/>
    <w:rsid w:val="00266F60"/>
    <w:rsid w:val="0026777D"/>
    <w:rsid w:val="00270636"/>
    <w:rsid w:val="00271109"/>
    <w:rsid w:val="0027279B"/>
    <w:rsid w:val="00273CA4"/>
    <w:rsid w:val="002751CC"/>
    <w:rsid w:val="002774D4"/>
    <w:rsid w:val="0028038C"/>
    <w:rsid w:val="0028049A"/>
    <w:rsid w:val="00280BC1"/>
    <w:rsid w:val="00280E9A"/>
    <w:rsid w:val="00280F6B"/>
    <w:rsid w:val="00281DC6"/>
    <w:rsid w:val="0028324D"/>
    <w:rsid w:val="002837E6"/>
    <w:rsid w:val="002838FE"/>
    <w:rsid w:val="00285615"/>
    <w:rsid w:val="00285BEE"/>
    <w:rsid w:val="00286C26"/>
    <w:rsid w:val="00286EBC"/>
    <w:rsid w:val="00290793"/>
    <w:rsid w:val="00290948"/>
    <w:rsid w:val="00290997"/>
    <w:rsid w:val="00291196"/>
    <w:rsid w:val="0029196A"/>
    <w:rsid w:val="00291DCB"/>
    <w:rsid w:val="00292DE2"/>
    <w:rsid w:val="002A0663"/>
    <w:rsid w:val="002A0DC0"/>
    <w:rsid w:val="002A2EFE"/>
    <w:rsid w:val="002A33D9"/>
    <w:rsid w:val="002A5278"/>
    <w:rsid w:val="002A668D"/>
    <w:rsid w:val="002A69A4"/>
    <w:rsid w:val="002A7367"/>
    <w:rsid w:val="002A7B8B"/>
    <w:rsid w:val="002B0FD3"/>
    <w:rsid w:val="002B13BC"/>
    <w:rsid w:val="002B1C28"/>
    <w:rsid w:val="002B22EA"/>
    <w:rsid w:val="002B2A63"/>
    <w:rsid w:val="002B3134"/>
    <w:rsid w:val="002B32CF"/>
    <w:rsid w:val="002B43C3"/>
    <w:rsid w:val="002B4600"/>
    <w:rsid w:val="002B6F89"/>
    <w:rsid w:val="002B777D"/>
    <w:rsid w:val="002B789F"/>
    <w:rsid w:val="002C01A5"/>
    <w:rsid w:val="002C1B09"/>
    <w:rsid w:val="002C2702"/>
    <w:rsid w:val="002C29E7"/>
    <w:rsid w:val="002C40F9"/>
    <w:rsid w:val="002C53EB"/>
    <w:rsid w:val="002C57E7"/>
    <w:rsid w:val="002C60B2"/>
    <w:rsid w:val="002C63DD"/>
    <w:rsid w:val="002C67EC"/>
    <w:rsid w:val="002C7894"/>
    <w:rsid w:val="002D18F1"/>
    <w:rsid w:val="002D1A4F"/>
    <w:rsid w:val="002D1EDD"/>
    <w:rsid w:val="002D40B5"/>
    <w:rsid w:val="002D4856"/>
    <w:rsid w:val="002D6E11"/>
    <w:rsid w:val="002E02AE"/>
    <w:rsid w:val="002E09B2"/>
    <w:rsid w:val="002E623F"/>
    <w:rsid w:val="002F1784"/>
    <w:rsid w:val="002F33F8"/>
    <w:rsid w:val="002F3776"/>
    <w:rsid w:val="002F5E4B"/>
    <w:rsid w:val="002F5E69"/>
    <w:rsid w:val="002F7684"/>
    <w:rsid w:val="002F78AC"/>
    <w:rsid w:val="002F7AA7"/>
    <w:rsid w:val="003005B4"/>
    <w:rsid w:val="003006FF"/>
    <w:rsid w:val="003013C4"/>
    <w:rsid w:val="003014A2"/>
    <w:rsid w:val="00302746"/>
    <w:rsid w:val="003040A5"/>
    <w:rsid w:val="003053B6"/>
    <w:rsid w:val="00305CBB"/>
    <w:rsid w:val="003061F0"/>
    <w:rsid w:val="00310C3B"/>
    <w:rsid w:val="003111AB"/>
    <w:rsid w:val="00311821"/>
    <w:rsid w:val="00313931"/>
    <w:rsid w:val="0031402B"/>
    <w:rsid w:val="00315E94"/>
    <w:rsid w:val="00316178"/>
    <w:rsid w:val="00317372"/>
    <w:rsid w:val="00320F46"/>
    <w:rsid w:val="00322A7E"/>
    <w:rsid w:val="00322FC1"/>
    <w:rsid w:val="00323A8B"/>
    <w:rsid w:val="00323C9C"/>
    <w:rsid w:val="00324813"/>
    <w:rsid w:val="00324B2D"/>
    <w:rsid w:val="00324E08"/>
    <w:rsid w:val="00325014"/>
    <w:rsid w:val="00325171"/>
    <w:rsid w:val="00325497"/>
    <w:rsid w:val="00325554"/>
    <w:rsid w:val="00326B67"/>
    <w:rsid w:val="003302C9"/>
    <w:rsid w:val="00330DDD"/>
    <w:rsid w:val="0033285D"/>
    <w:rsid w:val="00332945"/>
    <w:rsid w:val="00334281"/>
    <w:rsid w:val="00334654"/>
    <w:rsid w:val="003349CC"/>
    <w:rsid w:val="003349F3"/>
    <w:rsid w:val="003355CE"/>
    <w:rsid w:val="003356E8"/>
    <w:rsid w:val="00335FF9"/>
    <w:rsid w:val="0033733A"/>
    <w:rsid w:val="003375CB"/>
    <w:rsid w:val="003436D0"/>
    <w:rsid w:val="003448D6"/>
    <w:rsid w:val="00347E2D"/>
    <w:rsid w:val="00351756"/>
    <w:rsid w:val="00353D03"/>
    <w:rsid w:val="003554B7"/>
    <w:rsid w:val="003559B2"/>
    <w:rsid w:val="003577ED"/>
    <w:rsid w:val="00360D95"/>
    <w:rsid w:val="00361B30"/>
    <w:rsid w:val="00361B8F"/>
    <w:rsid w:val="0036276B"/>
    <w:rsid w:val="003639D6"/>
    <w:rsid w:val="0036419D"/>
    <w:rsid w:val="00364274"/>
    <w:rsid w:val="003700FD"/>
    <w:rsid w:val="00370735"/>
    <w:rsid w:val="0037193C"/>
    <w:rsid w:val="003719B3"/>
    <w:rsid w:val="003719D0"/>
    <w:rsid w:val="00373538"/>
    <w:rsid w:val="00373A07"/>
    <w:rsid w:val="003745C7"/>
    <w:rsid w:val="00374DC8"/>
    <w:rsid w:val="00377671"/>
    <w:rsid w:val="00377C06"/>
    <w:rsid w:val="00377DEC"/>
    <w:rsid w:val="003804B2"/>
    <w:rsid w:val="003807B0"/>
    <w:rsid w:val="003838A6"/>
    <w:rsid w:val="00383DCE"/>
    <w:rsid w:val="00384198"/>
    <w:rsid w:val="00385B7B"/>
    <w:rsid w:val="00387561"/>
    <w:rsid w:val="00392A94"/>
    <w:rsid w:val="00392B2E"/>
    <w:rsid w:val="003939D2"/>
    <w:rsid w:val="0039433B"/>
    <w:rsid w:val="00395731"/>
    <w:rsid w:val="003957F4"/>
    <w:rsid w:val="00396C4E"/>
    <w:rsid w:val="003970C7"/>
    <w:rsid w:val="003A015C"/>
    <w:rsid w:val="003A082F"/>
    <w:rsid w:val="003A0ECE"/>
    <w:rsid w:val="003A1757"/>
    <w:rsid w:val="003A2299"/>
    <w:rsid w:val="003A22B8"/>
    <w:rsid w:val="003A2F06"/>
    <w:rsid w:val="003A369C"/>
    <w:rsid w:val="003A445C"/>
    <w:rsid w:val="003A446E"/>
    <w:rsid w:val="003A5EE1"/>
    <w:rsid w:val="003A720F"/>
    <w:rsid w:val="003A743C"/>
    <w:rsid w:val="003B02EC"/>
    <w:rsid w:val="003B07F0"/>
    <w:rsid w:val="003B0C58"/>
    <w:rsid w:val="003B0D6B"/>
    <w:rsid w:val="003B2CC8"/>
    <w:rsid w:val="003B327B"/>
    <w:rsid w:val="003B4611"/>
    <w:rsid w:val="003B4AF4"/>
    <w:rsid w:val="003B56B2"/>
    <w:rsid w:val="003B6A2E"/>
    <w:rsid w:val="003C09F9"/>
    <w:rsid w:val="003C2F34"/>
    <w:rsid w:val="003C2F37"/>
    <w:rsid w:val="003C430A"/>
    <w:rsid w:val="003C4EF6"/>
    <w:rsid w:val="003C58BE"/>
    <w:rsid w:val="003C5A60"/>
    <w:rsid w:val="003C6522"/>
    <w:rsid w:val="003C6895"/>
    <w:rsid w:val="003C6ECF"/>
    <w:rsid w:val="003C71FF"/>
    <w:rsid w:val="003C7E7D"/>
    <w:rsid w:val="003D0F8F"/>
    <w:rsid w:val="003D22D8"/>
    <w:rsid w:val="003D2C87"/>
    <w:rsid w:val="003D33E1"/>
    <w:rsid w:val="003D4125"/>
    <w:rsid w:val="003D5936"/>
    <w:rsid w:val="003E1892"/>
    <w:rsid w:val="003E22B9"/>
    <w:rsid w:val="003E288E"/>
    <w:rsid w:val="003E5234"/>
    <w:rsid w:val="003E61BA"/>
    <w:rsid w:val="003E7685"/>
    <w:rsid w:val="003F092E"/>
    <w:rsid w:val="003F0D5A"/>
    <w:rsid w:val="003F2FFD"/>
    <w:rsid w:val="003F41FA"/>
    <w:rsid w:val="003F4324"/>
    <w:rsid w:val="003F65B7"/>
    <w:rsid w:val="00400A9A"/>
    <w:rsid w:val="00400AB3"/>
    <w:rsid w:val="00401EC5"/>
    <w:rsid w:val="00402011"/>
    <w:rsid w:val="004022A5"/>
    <w:rsid w:val="004022D3"/>
    <w:rsid w:val="00402C2C"/>
    <w:rsid w:val="00402C53"/>
    <w:rsid w:val="00402C91"/>
    <w:rsid w:val="00410580"/>
    <w:rsid w:val="00411585"/>
    <w:rsid w:val="004127B2"/>
    <w:rsid w:val="004134A3"/>
    <w:rsid w:val="004141F7"/>
    <w:rsid w:val="00414FAC"/>
    <w:rsid w:val="00416DD4"/>
    <w:rsid w:val="00420912"/>
    <w:rsid w:val="0042157D"/>
    <w:rsid w:val="004215A7"/>
    <w:rsid w:val="004224D2"/>
    <w:rsid w:val="004264C2"/>
    <w:rsid w:val="0042702D"/>
    <w:rsid w:val="00427B46"/>
    <w:rsid w:val="00430E2C"/>
    <w:rsid w:val="00430ED3"/>
    <w:rsid w:val="004321FE"/>
    <w:rsid w:val="00434A63"/>
    <w:rsid w:val="00435E99"/>
    <w:rsid w:val="004375B3"/>
    <w:rsid w:val="00437D58"/>
    <w:rsid w:val="00437D70"/>
    <w:rsid w:val="004402BC"/>
    <w:rsid w:val="00440AE5"/>
    <w:rsid w:val="00441326"/>
    <w:rsid w:val="004413D9"/>
    <w:rsid w:val="00441C2C"/>
    <w:rsid w:val="004431C4"/>
    <w:rsid w:val="00443538"/>
    <w:rsid w:val="00444CBC"/>
    <w:rsid w:val="00445289"/>
    <w:rsid w:val="00445FD0"/>
    <w:rsid w:val="00447369"/>
    <w:rsid w:val="004516C4"/>
    <w:rsid w:val="00453CE7"/>
    <w:rsid w:val="00454FF7"/>
    <w:rsid w:val="00456EC7"/>
    <w:rsid w:val="00456FD0"/>
    <w:rsid w:val="00457E82"/>
    <w:rsid w:val="004615E9"/>
    <w:rsid w:val="00461BD7"/>
    <w:rsid w:val="00461CBE"/>
    <w:rsid w:val="0046217D"/>
    <w:rsid w:val="004647ED"/>
    <w:rsid w:val="004651F1"/>
    <w:rsid w:val="00465E3A"/>
    <w:rsid w:val="004664F6"/>
    <w:rsid w:val="00467A3D"/>
    <w:rsid w:val="00467B01"/>
    <w:rsid w:val="0047060E"/>
    <w:rsid w:val="00470901"/>
    <w:rsid w:val="00470E02"/>
    <w:rsid w:val="00470E22"/>
    <w:rsid w:val="0047130D"/>
    <w:rsid w:val="00474BC9"/>
    <w:rsid w:val="00474EEC"/>
    <w:rsid w:val="00480142"/>
    <w:rsid w:val="0048048F"/>
    <w:rsid w:val="0048081B"/>
    <w:rsid w:val="0048139D"/>
    <w:rsid w:val="00481571"/>
    <w:rsid w:val="00483619"/>
    <w:rsid w:val="00483A16"/>
    <w:rsid w:val="004856A6"/>
    <w:rsid w:val="00486153"/>
    <w:rsid w:val="00487B63"/>
    <w:rsid w:val="00490072"/>
    <w:rsid w:val="004904CA"/>
    <w:rsid w:val="004904CC"/>
    <w:rsid w:val="00491E4E"/>
    <w:rsid w:val="00491F76"/>
    <w:rsid w:val="00493CC9"/>
    <w:rsid w:val="00495975"/>
    <w:rsid w:val="00495DB4"/>
    <w:rsid w:val="004962FF"/>
    <w:rsid w:val="00497303"/>
    <w:rsid w:val="004975B6"/>
    <w:rsid w:val="00497884"/>
    <w:rsid w:val="004A0750"/>
    <w:rsid w:val="004A3586"/>
    <w:rsid w:val="004A5209"/>
    <w:rsid w:val="004A625E"/>
    <w:rsid w:val="004A6556"/>
    <w:rsid w:val="004A6D3B"/>
    <w:rsid w:val="004A736F"/>
    <w:rsid w:val="004A7423"/>
    <w:rsid w:val="004A77ED"/>
    <w:rsid w:val="004B1709"/>
    <w:rsid w:val="004B3163"/>
    <w:rsid w:val="004B39FA"/>
    <w:rsid w:val="004B4C66"/>
    <w:rsid w:val="004B73DC"/>
    <w:rsid w:val="004C0A3C"/>
    <w:rsid w:val="004C1802"/>
    <w:rsid w:val="004C2527"/>
    <w:rsid w:val="004C4B00"/>
    <w:rsid w:val="004C6CE4"/>
    <w:rsid w:val="004C7BA6"/>
    <w:rsid w:val="004D225A"/>
    <w:rsid w:val="004D4FB7"/>
    <w:rsid w:val="004D5BC4"/>
    <w:rsid w:val="004D6055"/>
    <w:rsid w:val="004E14D0"/>
    <w:rsid w:val="004E3019"/>
    <w:rsid w:val="004E483D"/>
    <w:rsid w:val="004E6944"/>
    <w:rsid w:val="004E791E"/>
    <w:rsid w:val="004F245A"/>
    <w:rsid w:val="004F3431"/>
    <w:rsid w:val="004F42F6"/>
    <w:rsid w:val="004F4EAF"/>
    <w:rsid w:val="004F67E7"/>
    <w:rsid w:val="004F7A7C"/>
    <w:rsid w:val="004F7D9D"/>
    <w:rsid w:val="004F7DAC"/>
    <w:rsid w:val="00500999"/>
    <w:rsid w:val="00500E1A"/>
    <w:rsid w:val="0050383D"/>
    <w:rsid w:val="00505A1D"/>
    <w:rsid w:val="00505AD9"/>
    <w:rsid w:val="0050694B"/>
    <w:rsid w:val="00506B43"/>
    <w:rsid w:val="005072C9"/>
    <w:rsid w:val="005075AC"/>
    <w:rsid w:val="00511C1C"/>
    <w:rsid w:val="00512733"/>
    <w:rsid w:val="0051310F"/>
    <w:rsid w:val="00513924"/>
    <w:rsid w:val="00514D9D"/>
    <w:rsid w:val="0051556D"/>
    <w:rsid w:val="00515887"/>
    <w:rsid w:val="00516104"/>
    <w:rsid w:val="00516330"/>
    <w:rsid w:val="005166D4"/>
    <w:rsid w:val="00516E49"/>
    <w:rsid w:val="005214CC"/>
    <w:rsid w:val="005220A8"/>
    <w:rsid w:val="00523EC8"/>
    <w:rsid w:val="00523ED6"/>
    <w:rsid w:val="00525BB5"/>
    <w:rsid w:val="00526DD0"/>
    <w:rsid w:val="005278CF"/>
    <w:rsid w:val="00527EFA"/>
    <w:rsid w:val="00530794"/>
    <w:rsid w:val="00530C6E"/>
    <w:rsid w:val="005310D4"/>
    <w:rsid w:val="005341EE"/>
    <w:rsid w:val="005356D4"/>
    <w:rsid w:val="00540199"/>
    <w:rsid w:val="00540887"/>
    <w:rsid w:val="0054254D"/>
    <w:rsid w:val="005435EE"/>
    <w:rsid w:val="0054393B"/>
    <w:rsid w:val="00543A63"/>
    <w:rsid w:val="00543EAB"/>
    <w:rsid w:val="005455B1"/>
    <w:rsid w:val="005466CE"/>
    <w:rsid w:val="00546D06"/>
    <w:rsid w:val="00547565"/>
    <w:rsid w:val="0055359B"/>
    <w:rsid w:val="0055389E"/>
    <w:rsid w:val="00554DEA"/>
    <w:rsid w:val="0055624A"/>
    <w:rsid w:val="00560841"/>
    <w:rsid w:val="00561B8E"/>
    <w:rsid w:val="005638C9"/>
    <w:rsid w:val="00564FC1"/>
    <w:rsid w:val="0056658E"/>
    <w:rsid w:val="005667B9"/>
    <w:rsid w:val="00571E5E"/>
    <w:rsid w:val="00572484"/>
    <w:rsid w:val="00572C57"/>
    <w:rsid w:val="00573B2F"/>
    <w:rsid w:val="0057649A"/>
    <w:rsid w:val="005771EE"/>
    <w:rsid w:val="00582683"/>
    <w:rsid w:val="00582B5E"/>
    <w:rsid w:val="005836D8"/>
    <w:rsid w:val="00585E99"/>
    <w:rsid w:val="00590234"/>
    <w:rsid w:val="005905A2"/>
    <w:rsid w:val="00591555"/>
    <w:rsid w:val="005932DE"/>
    <w:rsid w:val="00593F76"/>
    <w:rsid w:val="0059459C"/>
    <w:rsid w:val="005949A2"/>
    <w:rsid w:val="00595C2D"/>
    <w:rsid w:val="005A0125"/>
    <w:rsid w:val="005A0FFE"/>
    <w:rsid w:val="005A1F18"/>
    <w:rsid w:val="005A2590"/>
    <w:rsid w:val="005A26A6"/>
    <w:rsid w:val="005A3B98"/>
    <w:rsid w:val="005A3DEC"/>
    <w:rsid w:val="005A4F64"/>
    <w:rsid w:val="005A5772"/>
    <w:rsid w:val="005A61F2"/>
    <w:rsid w:val="005A6DFF"/>
    <w:rsid w:val="005A789E"/>
    <w:rsid w:val="005B02EE"/>
    <w:rsid w:val="005B154E"/>
    <w:rsid w:val="005B2148"/>
    <w:rsid w:val="005B3228"/>
    <w:rsid w:val="005B3E75"/>
    <w:rsid w:val="005B4619"/>
    <w:rsid w:val="005B4653"/>
    <w:rsid w:val="005B4EC8"/>
    <w:rsid w:val="005B4FA9"/>
    <w:rsid w:val="005B5097"/>
    <w:rsid w:val="005B5B21"/>
    <w:rsid w:val="005B6965"/>
    <w:rsid w:val="005C004F"/>
    <w:rsid w:val="005C0AAD"/>
    <w:rsid w:val="005C1A5B"/>
    <w:rsid w:val="005C283C"/>
    <w:rsid w:val="005C43D3"/>
    <w:rsid w:val="005C44A3"/>
    <w:rsid w:val="005C4C87"/>
    <w:rsid w:val="005C55DB"/>
    <w:rsid w:val="005C66B2"/>
    <w:rsid w:val="005C79F9"/>
    <w:rsid w:val="005D01C8"/>
    <w:rsid w:val="005D1520"/>
    <w:rsid w:val="005D199A"/>
    <w:rsid w:val="005D2A4B"/>
    <w:rsid w:val="005D2B81"/>
    <w:rsid w:val="005D389E"/>
    <w:rsid w:val="005D3A1A"/>
    <w:rsid w:val="005D5044"/>
    <w:rsid w:val="005D54B0"/>
    <w:rsid w:val="005D54FC"/>
    <w:rsid w:val="005D72D9"/>
    <w:rsid w:val="005E0FDF"/>
    <w:rsid w:val="005E5A8D"/>
    <w:rsid w:val="005E5ABF"/>
    <w:rsid w:val="005E6B4C"/>
    <w:rsid w:val="005E7506"/>
    <w:rsid w:val="005E7D4B"/>
    <w:rsid w:val="005F0038"/>
    <w:rsid w:val="005F0838"/>
    <w:rsid w:val="005F16BD"/>
    <w:rsid w:val="005F177F"/>
    <w:rsid w:val="005F21C4"/>
    <w:rsid w:val="005F4821"/>
    <w:rsid w:val="005F5E19"/>
    <w:rsid w:val="005F671C"/>
    <w:rsid w:val="005F73B9"/>
    <w:rsid w:val="0060026D"/>
    <w:rsid w:val="00600F4A"/>
    <w:rsid w:val="00600F5D"/>
    <w:rsid w:val="0060255E"/>
    <w:rsid w:val="00605E3E"/>
    <w:rsid w:val="00607B7F"/>
    <w:rsid w:val="006123A4"/>
    <w:rsid w:val="00615ED8"/>
    <w:rsid w:val="006166F1"/>
    <w:rsid w:val="00616FD1"/>
    <w:rsid w:val="006177F8"/>
    <w:rsid w:val="006203BD"/>
    <w:rsid w:val="00621E56"/>
    <w:rsid w:val="00621FCF"/>
    <w:rsid w:val="00623E0A"/>
    <w:rsid w:val="0062439E"/>
    <w:rsid w:val="00627C1F"/>
    <w:rsid w:val="00631F79"/>
    <w:rsid w:val="00632B8E"/>
    <w:rsid w:val="00633FBC"/>
    <w:rsid w:val="00635F3D"/>
    <w:rsid w:val="00636B9D"/>
    <w:rsid w:val="00640A57"/>
    <w:rsid w:val="00640C6B"/>
    <w:rsid w:val="00642436"/>
    <w:rsid w:val="00642DCF"/>
    <w:rsid w:val="00643101"/>
    <w:rsid w:val="00644EDE"/>
    <w:rsid w:val="006457B7"/>
    <w:rsid w:val="00647134"/>
    <w:rsid w:val="00647378"/>
    <w:rsid w:val="00651E48"/>
    <w:rsid w:val="00654A26"/>
    <w:rsid w:val="006550DD"/>
    <w:rsid w:val="006557A8"/>
    <w:rsid w:val="00657715"/>
    <w:rsid w:val="00661956"/>
    <w:rsid w:val="00662AC0"/>
    <w:rsid w:val="00663E58"/>
    <w:rsid w:val="006646E7"/>
    <w:rsid w:val="00664963"/>
    <w:rsid w:val="006665D4"/>
    <w:rsid w:val="0066672F"/>
    <w:rsid w:val="00666BC8"/>
    <w:rsid w:val="0067476F"/>
    <w:rsid w:val="006750F1"/>
    <w:rsid w:val="00675FD8"/>
    <w:rsid w:val="006765CF"/>
    <w:rsid w:val="006828D5"/>
    <w:rsid w:val="00682A15"/>
    <w:rsid w:val="00687E3F"/>
    <w:rsid w:val="00687E9C"/>
    <w:rsid w:val="00687F21"/>
    <w:rsid w:val="00690FCA"/>
    <w:rsid w:val="00691094"/>
    <w:rsid w:val="006918E7"/>
    <w:rsid w:val="00692125"/>
    <w:rsid w:val="00694129"/>
    <w:rsid w:val="00694867"/>
    <w:rsid w:val="0069546E"/>
    <w:rsid w:val="0069579A"/>
    <w:rsid w:val="0069784F"/>
    <w:rsid w:val="006A0272"/>
    <w:rsid w:val="006A12E5"/>
    <w:rsid w:val="006A393C"/>
    <w:rsid w:val="006A4F21"/>
    <w:rsid w:val="006A57D5"/>
    <w:rsid w:val="006A5C67"/>
    <w:rsid w:val="006A61E9"/>
    <w:rsid w:val="006A65B3"/>
    <w:rsid w:val="006B0E27"/>
    <w:rsid w:val="006B2B89"/>
    <w:rsid w:val="006B392E"/>
    <w:rsid w:val="006B3A90"/>
    <w:rsid w:val="006B4123"/>
    <w:rsid w:val="006B4A5A"/>
    <w:rsid w:val="006B6AA2"/>
    <w:rsid w:val="006B6FC3"/>
    <w:rsid w:val="006B7085"/>
    <w:rsid w:val="006B7F82"/>
    <w:rsid w:val="006C094C"/>
    <w:rsid w:val="006C1F25"/>
    <w:rsid w:val="006C6835"/>
    <w:rsid w:val="006C6D39"/>
    <w:rsid w:val="006C7E1D"/>
    <w:rsid w:val="006D0B4E"/>
    <w:rsid w:val="006D0D91"/>
    <w:rsid w:val="006D1725"/>
    <w:rsid w:val="006D1898"/>
    <w:rsid w:val="006D1C10"/>
    <w:rsid w:val="006D2ABD"/>
    <w:rsid w:val="006D2E61"/>
    <w:rsid w:val="006D2EC8"/>
    <w:rsid w:val="006D3351"/>
    <w:rsid w:val="006D3799"/>
    <w:rsid w:val="006D3808"/>
    <w:rsid w:val="006D4800"/>
    <w:rsid w:val="006D48CB"/>
    <w:rsid w:val="006D5A7B"/>
    <w:rsid w:val="006E0179"/>
    <w:rsid w:val="006E03A0"/>
    <w:rsid w:val="006E3D28"/>
    <w:rsid w:val="006E5DAB"/>
    <w:rsid w:val="006E7339"/>
    <w:rsid w:val="006F09C4"/>
    <w:rsid w:val="006F0A0A"/>
    <w:rsid w:val="006F1958"/>
    <w:rsid w:val="006F1E4E"/>
    <w:rsid w:val="006F52E9"/>
    <w:rsid w:val="006F5AC8"/>
    <w:rsid w:val="006F7F6E"/>
    <w:rsid w:val="007008AE"/>
    <w:rsid w:val="00702F63"/>
    <w:rsid w:val="007031F9"/>
    <w:rsid w:val="0070381F"/>
    <w:rsid w:val="00704FE0"/>
    <w:rsid w:val="007052EB"/>
    <w:rsid w:val="007053AB"/>
    <w:rsid w:val="007054F6"/>
    <w:rsid w:val="00707AEB"/>
    <w:rsid w:val="00707E26"/>
    <w:rsid w:val="00707F55"/>
    <w:rsid w:val="00711C13"/>
    <w:rsid w:val="00713CE4"/>
    <w:rsid w:val="00716A75"/>
    <w:rsid w:val="00717550"/>
    <w:rsid w:val="00717C7C"/>
    <w:rsid w:val="00717E5E"/>
    <w:rsid w:val="00720423"/>
    <w:rsid w:val="00721CA0"/>
    <w:rsid w:val="00722130"/>
    <w:rsid w:val="00722C49"/>
    <w:rsid w:val="007248A3"/>
    <w:rsid w:val="007250C7"/>
    <w:rsid w:val="00725181"/>
    <w:rsid w:val="00725E30"/>
    <w:rsid w:val="00726E72"/>
    <w:rsid w:val="007272D4"/>
    <w:rsid w:val="007313F2"/>
    <w:rsid w:val="00732A33"/>
    <w:rsid w:val="0073304E"/>
    <w:rsid w:val="0073359C"/>
    <w:rsid w:val="0073464F"/>
    <w:rsid w:val="00735106"/>
    <w:rsid w:val="00735CD2"/>
    <w:rsid w:val="007361C8"/>
    <w:rsid w:val="00737560"/>
    <w:rsid w:val="00737705"/>
    <w:rsid w:val="0074040F"/>
    <w:rsid w:val="0074084C"/>
    <w:rsid w:val="00741839"/>
    <w:rsid w:val="00741BD1"/>
    <w:rsid w:val="00745B09"/>
    <w:rsid w:val="0074601A"/>
    <w:rsid w:val="00750011"/>
    <w:rsid w:val="00751153"/>
    <w:rsid w:val="007518DE"/>
    <w:rsid w:val="00751B3A"/>
    <w:rsid w:val="00751D4B"/>
    <w:rsid w:val="0075205A"/>
    <w:rsid w:val="00752864"/>
    <w:rsid w:val="007535A7"/>
    <w:rsid w:val="007545ED"/>
    <w:rsid w:val="00754A7D"/>
    <w:rsid w:val="00755987"/>
    <w:rsid w:val="00757987"/>
    <w:rsid w:val="00757E90"/>
    <w:rsid w:val="0076036D"/>
    <w:rsid w:val="00760371"/>
    <w:rsid w:val="00760981"/>
    <w:rsid w:val="00761120"/>
    <w:rsid w:val="007613CE"/>
    <w:rsid w:val="0076148D"/>
    <w:rsid w:val="007622D1"/>
    <w:rsid w:val="00772133"/>
    <w:rsid w:val="007721A1"/>
    <w:rsid w:val="007730C0"/>
    <w:rsid w:val="00773766"/>
    <w:rsid w:val="00773941"/>
    <w:rsid w:val="00773EA0"/>
    <w:rsid w:val="00775625"/>
    <w:rsid w:val="00776963"/>
    <w:rsid w:val="007805C4"/>
    <w:rsid w:val="00781524"/>
    <w:rsid w:val="00783C2F"/>
    <w:rsid w:val="00785E53"/>
    <w:rsid w:val="007906C9"/>
    <w:rsid w:val="00790AA2"/>
    <w:rsid w:val="007916A7"/>
    <w:rsid w:val="00791FBA"/>
    <w:rsid w:val="007925D2"/>
    <w:rsid w:val="007928C9"/>
    <w:rsid w:val="00792A5A"/>
    <w:rsid w:val="007940BA"/>
    <w:rsid w:val="007947F0"/>
    <w:rsid w:val="0079689C"/>
    <w:rsid w:val="00797FE5"/>
    <w:rsid w:val="007A1374"/>
    <w:rsid w:val="007A143A"/>
    <w:rsid w:val="007A14A4"/>
    <w:rsid w:val="007A163D"/>
    <w:rsid w:val="007A2631"/>
    <w:rsid w:val="007A2693"/>
    <w:rsid w:val="007A2927"/>
    <w:rsid w:val="007A2E15"/>
    <w:rsid w:val="007A3400"/>
    <w:rsid w:val="007A3A42"/>
    <w:rsid w:val="007A4C03"/>
    <w:rsid w:val="007A5A56"/>
    <w:rsid w:val="007A6D2A"/>
    <w:rsid w:val="007A7FC4"/>
    <w:rsid w:val="007B162F"/>
    <w:rsid w:val="007B1B7F"/>
    <w:rsid w:val="007B1E75"/>
    <w:rsid w:val="007B1E80"/>
    <w:rsid w:val="007B20BF"/>
    <w:rsid w:val="007B2437"/>
    <w:rsid w:val="007B2E0C"/>
    <w:rsid w:val="007B2EBC"/>
    <w:rsid w:val="007B5223"/>
    <w:rsid w:val="007C02F4"/>
    <w:rsid w:val="007C0B15"/>
    <w:rsid w:val="007C0CCD"/>
    <w:rsid w:val="007C2430"/>
    <w:rsid w:val="007C2CE4"/>
    <w:rsid w:val="007C3670"/>
    <w:rsid w:val="007C39A0"/>
    <w:rsid w:val="007C5886"/>
    <w:rsid w:val="007C5ABF"/>
    <w:rsid w:val="007C6EB2"/>
    <w:rsid w:val="007C7AB0"/>
    <w:rsid w:val="007D163C"/>
    <w:rsid w:val="007D5341"/>
    <w:rsid w:val="007D58F5"/>
    <w:rsid w:val="007E2B9F"/>
    <w:rsid w:val="007E3C3F"/>
    <w:rsid w:val="007E41AC"/>
    <w:rsid w:val="007E5D47"/>
    <w:rsid w:val="007E72D7"/>
    <w:rsid w:val="007E7661"/>
    <w:rsid w:val="007F19E8"/>
    <w:rsid w:val="007F1B17"/>
    <w:rsid w:val="007F464C"/>
    <w:rsid w:val="007F5AFF"/>
    <w:rsid w:val="007F6881"/>
    <w:rsid w:val="00800ADA"/>
    <w:rsid w:val="00801831"/>
    <w:rsid w:val="00801A74"/>
    <w:rsid w:val="00803D4A"/>
    <w:rsid w:val="008049F0"/>
    <w:rsid w:val="00805A69"/>
    <w:rsid w:val="008065F4"/>
    <w:rsid w:val="0080767B"/>
    <w:rsid w:val="00807C75"/>
    <w:rsid w:val="00810102"/>
    <w:rsid w:val="00810512"/>
    <w:rsid w:val="0081103A"/>
    <w:rsid w:val="008110F3"/>
    <w:rsid w:val="0081117E"/>
    <w:rsid w:val="00811334"/>
    <w:rsid w:val="008118FF"/>
    <w:rsid w:val="008119F0"/>
    <w:rsid w:val="00811A4D"/>
    <w:rsid w:val="008128E0"/>
    <w:rsid w:val="00814004"/>
    <w:rsid w:val="00814B4C"/>
    <w:rsid w:val="00815150"/>
    <w:rsid w:val="008156AD"/>
    <w:rsid w:val="0081579D"/>
    <w:rsid w:val="00817742"/>
    <w:rsid w:val="00820478"/>
    <w:rsid w:val="008210B1"/>
    <w:rsid w:val="008218BE"/>
    <w:rsid w:val="0082206F"/>
    <w:rsid w:val="00824594"/>
    <w:rsid w:val="00825272"/>
    <w:rsid w:val="00826AFC"/>
    <w:rsid w:val="00826D4B"/>
    <w:rsid w:val="0082787C"/>
    <w:rsid w:val="00830B5C"/>
    <w:rsid w:val="00830EB4"/>
    <w:rsid w:val="008334B7"/>
    <w:rsid w:val="008335A9"/>
    <w:rsid w:val="00834D7E"/>
    <w:rsid w:val="00834FC9"/>
    <w:rsid w:val="0083578B"/>
    <w:rsid w:val="0083657F"/>
    <w:rsid w:val="008365E5"/>
    <w:rsid w:val="00837116"/>
    <w:rsid w:val="00837195"/>
    <w:rsid w:val="008374A1"/>
    <w:rsid w:val="00840808"/>
    <w:rsid w:val="00841681"/>
    <w:rsid w:val="008419E1"/>
    <w:rsid w:val="008459DF"/>
    <w:rsid w:val="00845A2C"/>
    <w:rsid w:val="0085006F"/>
    <w:rsid w:val="00851050"/>
    <w:rsid w:val="00851AD7"/>
    <w:rsid w:val="00852646"/>
    <w:rsid w:val="00854088"/>
    <w:rsid w:val="00855BF2"/>
    <w:rsid w:val="00855FA3"/>
    <w:rsid w:val="00862804"/>
    <w:rsid w:val="00862E01"/>
    <w:rsid w:val="00862EAF"/>
    <w:rsid w:val="00862F63"/>
    <w:rsid w:val="008638A0"/>
    <w:rsid w:val="00863F4F"/>
    <w:rsid w:val="00863FB8"/>
    <w:rsid w:val="00866018"/>
    <w:rsid w:val="00866C5B"/>
    <w:rsid w:val="0086744F"/>
    <w:rsid w:val="00870807"/>
    <w:rsid w:val="0087241D"/>
    <w:rsid w:val="0087301B"/>
    <w:rsid w:val="00874DE1"/>
    <w:rsid w:val="008767C6"/>
    <w:rsid w:val="00880571"/>
    <w:rsid w:val="00881221"/>
    <w:rsid w:val="0088166C"/>
    <w:rsid w:val="00882F98"/>
    <w:rsid w:val="008846B8"/>
    <w:rsid w:val="00885C88"/>
    <w:rsid w:val="00887A1D"/>
    <w:rsid w:val="008907F4"/>
    <w:rsid w:val="00891C5F"/>
    <w:rsid w:val="00891FB6"/>
    <w:rsid w:val="00893609"/>
    <w:rsid w:val="008951A1"/>
    <w:rsid w:val="00895BCF"/>
    <w:rsid w:val="008A0C98"/>
    <w:rsid w:val="008A0E47"/>
    <w:rsid w:val="008A135C"/>
    <w:rsid w:val="008A1430"/>
    <w:rsid w:val="008A3105"/>
    <w:rsid w:val="008A427F"/>
    <w:rsid w:val="008A5AE0"/>
    <w:rsid w:val="008A6016"/>
    <w:rsid w:val="008A6033"/>
    <w:rsid w:val="008A62A2"/>
    <w:rsid w:val="008A6A2F"/>
    <w:rsid w:val="008A7220"/>
    <w:rsid w:val="008A7564"/>
    <w:rsid w:val="008A7E66"/>
    <w:rsid w:val="008B0442"/>
    <w:rsid w:val="008B0CA8"/>
    <w:rsid w:val="008B27AD"/>
    <w:rsid w:val="008B2A64"/>
    <w:rsid w:val="008B30AE"/>
    <w:rsid w:val="008B3903"/>
    <w:rsid w:val="008B5D31"/>
    <w:rsid w:val="008B5E9D"/>
    <w:rsid w:val="008B65EC"/>
    <w:rsid w:val="008B6A6E"/>
    <w:rsid w:val="008B6D1A"/>
    <w:rsid w:val="008B6E10"/>
    <w:rsid w:val="008C0D7A"/>
    <w:rsid w:val="008C1721"/>
    <w:rsid w:val="008C1E9E"/>
    <w:rsid w:val="008C2968"/>
    <w:rsid w:val="008C341E"/>
    <w:rsid w:val="008C5C4B"/>
    <w:rsid w:val="008C6AE8"/>
    <w:rsid w:val="008D1F38"/>
    <w:rsid w:val="008D1FC7"/>
    <w:rsid w:val="008D2535"/>
    <w:rsid w:val="008D32AA"/>
    <w:rsid w:val="008D4B23"/>
    <w:rsid w:val="008D72D9"/>
    <w:rsid w:val="008E03BA"/>
    <w:rsid w:val="008E03D3"/>
    <w:rsid w:val="008E0FD3"/>
    <w:rsid w:val="008E12F8"/>
    <w:rsid w:val="008E14AE"/>
    <w:rsid w:val="008E17A2"/>
    <w:rsid w:val="008E2900"/>
    <w:rsid w:val="008E31B2"/>
    <w:rsid w:val="008E4121"/>
    <w:rsid w:val="008E4C4F"/>
    <w:rsid w:val="008E7241"/>
    <w:rsid w:val="008E795B"/>
    <w:rsid w:val="008F15EA"/>
    <w:rsid w:val="008F2388"/>
    <w:rsid w:val="008F35D0"/>
    <w:rsid w:val="008F4E3F"/>
    <w:rsid w:val="008F5ADF"/>
    <w:rsid w:val="008F654F"/>
    <w:rsid w:val="009000A5"/>
    <w:rsid w:val="00900497"/>
    <w:rsid w:val="00900B61"/>
    <w:rsid w:val="00901104"/>
    <w:rsid w:val="00903669"/>
    <w:rsid w:val="0090445E"/>
    <w:rsid w:val="0090553A"/>
    <w:rsid w:val="0090618B"/>
    <w:rsid w:val="00912017"/>
    <w:rsid w:val="009122D6"/>
    <w:rsid w:val="009140BB"/>
    <w:rsid w:val="0091416A"/>
    <w:rsid w:val="00914736"/>
    <w:rsid w:val="009173EE"/>
    <w:rsid w:val="0092150A"/>
    <w:rsid w:val="00922293"/>
    <w:rsid w:val="0092245C"/>
    <w:rsid w:val="00923B0E"/>
    <w:rsid w:val="00924917"/>
    <w:rsid w:val="00925D1E"/>
    <w:rsid w:val="00925D8E"/>
    <w:rsid w:val="00926C5D"/>
    <w:rsid w:val="00927257"/>
    <w:rsid w:val="00930BC7"/>
    <w:rsid w:val="009329B2"/>
    <w:rsid w:val="00932E26"/>
    <w:rsid w:val="00933A01"/>
    <w:rsid w:val="00933B65"/>
    <w:rsid w:val="009355F8"/>
    <w:rsid w:val="00936382"/>
    <w:rsid w:val="00936423"/>
    <w:rsid w:val="00936A0D"/>
    <w:rsid w:val="00937218"/>
    <w:rsid w:val="009413FE"/>
    <w:rsid w:val="00941D52"/>
    <w:rsid w:val="00941FCA"/>
    <w:rsid w:val="0094234A"/>
    <w:rsid w:val="00944ED1"/>
    <w:rsid w:val="00946C3E"/>
    <w:rsid w:val="00947985"/>
    <w:rsid w:val="00947D7A"/>
    <w:rsid w:val="00950CC5"/>
    <w:rsid w:val="00951CBF"/>
    <w:rsid w:val="009523FD"/>
    <w:rsid w:val="00953766"/>
    <w:rsid w:val="00953AFA"/>
    <w:rsid w:val="009546E7"/>
    <w:rsid w:val="009547DA"/>
    <w:rsid w:val="009555C6"/>
    <w:rsid w:val="00956B16"/>
    <w:rsid w:val="00957A28"/>
    <w:rsid w:val="00960329"/>
    <w:rsid w:val="009604BC"/>
    <w:rsid w:val="00960AAA"/>
    <w:rsid w:val="009615F9"/>
    <w:rsid w:val="00961EEB"/>
    <w:rsid w:val="00962191"/>
    <w:rsid w:val="00962699"/>
    <w:rsid w:val="00964EE7"/>
    <w:rsid w:val="0096512F"/>
    <w:rsid w:val="00970B45"/>
    <w:rsid w:val="00970F03"/>
    <w:rsid w:val="00971546"/>
    <w:rsid w:val="00971872"/>
    <w:rsid w:val="00971B42"/>
    <w:rsid w:val="009727FE"/>
    <w:rsid w:val="00972EE2"/>
    <w:rsid w:val="009734F9"/>
    <w:rsid w:val="00975123"/>
    <w:rsid w:val="009757B6"/>
    <w:rsid w:val="00976793"/>
    <w:rsid w:val="0097704D"/>
    <w:rsid w:val="0097740A"/>
    <w:rsid w:val="00977E7E"/>
    <w:rsid w:val="00977FDA"/>
    <w:rsid w:val="0098022E"/>
    <w:rsid w:val="00980255"/>
    <w:rsid w:val="00982314"/>
    <w:rsid w:val="00983047"/>
    <w:rsid w:val="00984238"/>
    <w:rsid w:val="00984307"/>
    <w:rsid w:val="009846BC"/>
    <w:rsid w:val="00984A8B"/>
    <w:rsid w:val="00984DEF"/>
    <w:rsid w:val="009858DB"/>
    <w:rsid w:val="00985DC9"/>
    <w:rsid w:val="0098668A"/>
    <w:rsid w:val="00986962"/>
    <w:rsid w:val="00987BE9"/>
    <w:rsid w:val="00987E35"/>
    <w:rsid w:val="00990EA4"/>
    <w:rsid w:val="00990EB0"/>
    <w:rsid w:val="00991868"/>
    <w:rsid w:val="00991F88"/>
    <w:rsid w:val="00994766"/>
    <w:rsid w:val="00994DCE"/>
    <w:rsid w:val="009A03FE"/>
    <w:rsid w:val="009A179C"/>
    <w:rsid w:val="009A20A4"/>
    <w:rsid w:val="009A237B"/>
    <w:rsid w:val="009A2B00"/>
    <w:rsid w:val="009A2BE2"/>
    <w:rsid w:val="009A3447"/>
    <w:rsid w:val="009A38E2"/>
    <w:rsid w:val="009A4056"/>
    <w:rsid w:val="009A57CA"/>
    <w:rsid w:val="009A63A1"/>
    <w:rsid w:val="009A7A22"/>
    <w:rsid w:val="009B0B40"/>
    <w:rsid w:val="009B17BB"/>
    <w:rsid w:val="009B45CD"/>
    <w:rsid w:val="009B4733"/>
    <w:rsid w:val="009B7DB9"/>
    <w:rsid w:val="009C1506"/>
    <w:rsid w:val="009C46D9"/>
    <w:rsid w:val="009C5605"/>
    <w:rsid w:val="009C59B2"/>
    <w:rsid w:val="009D24C9"/>
    <w:rsid w:val="009D5409"/>
    <w:rsid w:val="009D7495"/>
    <w:rsid w:val="009D7DB2"/>
    <w:rsid w:val="009D7E8F"/>
    <w:rsid w:val="009E0A93"/>
    <w:rsid w:val="009E0C2F"/>
    <w:rsid w:val="009E3F40"/>
    <w:rsid w:val="009E4EE7"/>
    <w:rsid w:val="009E6684"/>
    <w:rsid w:val="009E6FD1"/>
    <w:rsid w:val="009E7763"/>
    <w:rsid w:val="009F3C04"/>
    <w:rsid w:val="009F3D69"/>
    <w:rsid w:val="009F4802"/>
    <w:rsid w:val="009F4D16"/>
    <w:rsid w:val="009F4D6B"/>
    <w:rsid w:val="009F52C2"/>
    <w:rsid w:val="009F5795"/>
    <w:rsid w:val="009F5799"/>
    <w:rsid w:val="009F597E"/>
    <w:rsid w:val="00A006F8"/>
    <w:rsid w:val="00A00734"/>
    <w:rsid w:val="00A01E22"/>
    <w:rsid w:val="00A04171"/>
    <w:rsid w:val="00A045FD"/>
    <w:rsid w:val="00A04C92"/>
    <w:rsid w:val="00A0570F"/>
    <w:rsid w:val="00A05911"/>
    <w:rsid w:val="00A06382"/>
    <w:rsid w:val="00A079C0"/>
    <w:rsid w:val="00A07A23"/>
    <w:rsid w:val="00A07C28"/>
    <w:rsid w:val="00A1075B"/>
    <w:rsid w:val="00A11C6D"/>
    <w:rsid w:val="00A1237B"/>
    <w:rsid w:val="00A1275B"/>
    <w:rsid w:val="00A13A1C"/>
    <w:rsid w:val="00A15F9A"/>
    <w:rsid w:val="00A1607B"/>
    <w:rsid w:val="00A170D7"/>
    <w:rsid w:val="00A2191B"/>
    <w:rsid w:val="00A24787"/>
    <w:rsid w:val="00A24CF1"/>
    <w:rsid w:val="00A272E3"/>
    <w:rsid w:val="00A307B9"/>
    <w:rsid w:val="00A34EF7"/>
    <w:rsid w:val="00A35E67"/>
    <w:rsid w:val="00A3655E"/>
    <w:rsid w:val="00A37264"/>
    <w:rsid w:val="00A377D8"/>
    <w:rsid w:val="00A37819"/>
    <w:rsid w:val="00A37E01"/>
    <w:rsid w:val="00A37FC2"/>
    <w:rsid w:val="00A40E10"/>
    <w:rsid w:val="00A41B05"/>
    <w:rsid w:val="00A42D7C"/>
    <w:rsid w:val="00A4651F"/>
    <w:rsid w:val="00A465F8"/>
    <w:rsid w:val="00A46B82"/>
    <w:rsid w:val="00A47AD9"/>
    <w:rsid w:val="00A5142B"/>
    <w:rsid w:val="00A5143F"/>
    <w:rsid w:val="00A517EA"/>
    <w:rsid w:val="00A521CB"/>
    <w:rsid w:val="00A524A6"/>
    <w:rsid w:val="00A5354F"/>
    <w:rsid w:val="00A53DC8"/>
    <w:rsid w:val="00A54C3D"/>
    <w:rsid w:val="00A57E46"/>
    <w:rsid w:val="00A60725"/>
    <w:rsid w:val="00A62248"/>
    <w:rsid w:val="00A626BE"/>
    <w:rsid w:val="00A63058"/>
    <w:rsid w:val="00A6318B"/>
    <w:rsid w:val="00A65E10"/>
    <w:rsid w:val="00A702EE"/>
    <w:rsid w:val="00A71319"/>
    <w:rsid w:val="00A713D6"/>
    <w:rsid w:val="00A71C50"/>
    <w:rsid w:val="00A729DF"/>
    <w:rsid w:val="00A740FD"/>
    <w:rsid w:val="00A74B8A"/>
    <w:rsid w:val="00A76869"/>
    <w:rsid w:val="00A7733A"/>
    <w:rsid w:val="00A8006B"/>
    <w:rsid w:val="00A81369"/>
    <w:rsid w:val="00A816E9"/>
    <w:rsid w:val="00A81DBB"/>
    <w:rsid w:val="00A82A81"/>
    <w:rsid w:val="00A83D9F"/>
    <w:rsid w:val="00A84AE9"/>
    <w:rsid w:val="00A879AB"/>
    <w:rsid w:val="00A94298"/>
    <w:rsid w:val="00A9643E"/>
    <w:rsid w:val="00A9774A"/>
    <w:rsid w:val="00A97A22"/>
    <w:rsid w:val="00AA04B6"/>
    <w:rsid w:val="00AA04F7"/>
    <w:rsid w:val="00AA0695"/>
    <w:rsid w:val="00AA07E3"/>
    <w:rsid w:val="00AA2212"/>
    <w:rsid w:val="00AA2831"/>
    <w:rsid w:val="00AA385A"/>
    <w:rsid w:val="00AA38B8"/>
    <w:rsid w:val="00AA3A03"/>
    <w:rsid w:val="00AA4F46"/>
    <w:rsid w:val="00AA60C5"/>
    <w:rsid w:val="00AA63B6"/>
    <w:rsid w:val="00AA65CC"/>
    <w:rsid w:val="00AA7FED"/>
    <w:rsid w:val="00AB0E72"/>
    <w:rsid w:val="00AB14AB"/>
    <w:rsid w:val="00AB2537"/>
    <w:rsid w:val="00AB38E5"/>
    <w:rsid w:val="00AB4031"/>
    <w:rsid w:val="00AC0280"/>
    <w:rsid w:val="00AC097E"/>
    <w:rsid w:val="00AC12DB"/>
    <w:rsid w:val="00AC5EAD"/>
    <w:rsid w:val="00AC71F6"/>
    <w:rsid w:val="00AC72E1"/>
    <w:rsid w:val="00AD061D"/>
    <w:rsid w:val="00AD28CF"/>
    <w:rsid w:val="00AD2EF8"/>
    <w:rsid w:val="00AD3374"/>
    <w:rsid w:val="00AD3B25"/>
    <w:rsid w:val="00AD3F9F"/>
    <w:rsid w:val="00AD5CBD"/>
    <w:rsid w:val="00AD6035"/>
    <w:rsid w:val="00AD6290"/>
    <w:rsid w:val="00AD7F06"/>
    <w:rsid w:val="00AE0085"/>
    <w:rsid w:val="00AE1165"/>
    <w:rsid w:val="00AE1E33"/>
    <w:rsid w:val="00AE1F80"/>
    <w:rsid w:val="00AE2896"/>
    <w:rsid w:val="00AE33BD"/>
    <w:rsid w:val="00AE44BA"/>
    <w:rsid w:val="00AE45B9"/>
    <w:rsid w:val="00AE5696"/>
    <w:rsid w:val="00AE58E3"/>
    <w:rsid w:val="00AE5AB6"/>
    <w:rsid w:val="00AE64FF"/>
    <w:rsid w:val="00AE66F4"/>
    <w:rsid w:val="00AE79DD"/>
    <w:rsid w:val="00AF0618"/>
    <w:rsid w:val="00AF1D29"/>
    <w:rsid w:val="00AF38FE"/>
    <w:rsid w:val="00AF3AA1"/>
    <w:rsid w:val="00AF3DAD"/>
    <w:rsid w:val="00AF48A1"/>
    <w:rsid w:val="00AF4DEF"/>
    <w:rsid w:val="00AF5AA9"/>
    <w:rsid w:val="00AF5AF9"/>
    <w:rsid w:val="00AF5D38"/>
    <w:rsid w:val="00AF7506"/>
    <w:rsid w:val="00B00086"/>
    <w:rsid w:val="00B01A3D"/>
    <w:rsid w:val="00B0313F"/>
    <w:rsid w:val="00B0453E"/>
    <w:rsid w:val="00B04E79"/>
    <w:rsid w:val="00B05A1E"/>
    <w:rsid w:val="00B0733F"/>
    <w:rsid w:val="00B075E5"/>
    <w:rsid w:val="00B10094"/>
    <w:rsid w:val="00B10F2C"/>
    <w:rsid w:val="00B16631"/>
    <w:rsid w:val="00B17221"/>
    <w:rsid w:val="00B1728C"/>
    <w:rsid w:val="00B17FE7"/>
    <w:rsid w:val="00B200AF"/>
    <w:rsid w:val="00B200C4"/>
    <w:rsid w:val="00B213C9"/>
    <w:rsid w:val="00B229B2"/>
    <w:rsid w:val="00B26DF7"/>
    <w:rsid w:val="00B27B3C"/>
    <w:rsid w:val="00B30CA1"/>
    <w:rsid w:val="00B3429C"/>
    <w:rsid w:val="00B35102"/>
    <w:rsid w:val="00B36DB8"/>
    <w:rsid w:val="00B422C5"/>
    <w:rsid w:val="00B42CC2"/>
    <w:rsid w:val="00B4470C"/>
    <w:rsid w:val="00B44EDE"/>
    <w:rsid w:val="00B452D1"/>
    <w:rsid w:val="00B45587"/>
    <w:rsid w:val="00B4582A"/>
    <w:rsid w:val="00B45A2F"/>
    <w:rsid w:val="00B45E55"/>
    <w:rsid w:val="00B46DD8"/>
    <w:rsid w:val="00B47180"/>
    <w:rsid w:val="00B502A0"/>
    <w:rsid w:val="00B50481"/>
    <w:rsid w:val="00B51AA9"/>
    <w:rsid w:val="00B54408"/>
    <w:rsid w:val="00B566CF"/>
    <w:rsid w:val="00B574DF"/>
    <w:rsid w:val="00B609FA"/>
    <w:rsid w:val="00B6139A"/>
    <w:rsid w:val="00B639DD"/>
    <w:rsid w:val="00B64DD4"/>
    <w:rsid w:val="00B65141"/>
    <w:rsid w:val="00B658DF"/>
    <w:rsid w:val="00B6748B"/>
    <w:rsid w:val="00B713AC"/>
    <w:rsid w:val="00B7159B"/>
    <w:rsid w:val="00B715BE"/>
    <w:rsid w:val="00B720BA"/>
    <w:rsid w:val="00B72A3B"/>
    <w:rsid w:val="00B770DE"/>
    <w:rsid w:val="00B809B8"/>
    <w:rsid w:val="00B81156"/>
    <w:rsid w:val="00B81422"/>
    <w:rsid w:val="00B81715"/>
    <w:rsid w:val="00B8309F"/>
    <w:rsid w:val="00B85058"/>
    <w:rsid w:val="00B86734"/>
    <w:rsid w:val="00B87779"/>
    <w:rsid w:val="00B90714"/>
    <w:rsid w:val="00B92D55"/>
    <w:rsid w:val="00B94218"/>
    <w:rsid w:val="00B943D0"/>
    <w:rsid w:val="00B94C41"/>
    <w:rsid w:val="00B9727B"/>
    <w:rsid w:val="00B97BED"/>
    <w:rsid w:val="00BA109F"/>
    <w:rsid w:val="00BA3013"/>
    <w:rsid w:val="00BA37F7"/>
    <w:rsid w:val="00BA4AB7"/>
    <w:rsid w:val="00BA57F1"/>
    <w:rsid w:val="00BB0A5B"/>
    <w:rsid w:val="00BB1210"/>
    <w:rsid w:val="00BB1284"/>
    <w:rsid w:val="00BB146C"/>
    <w:rsid w:val="00BB1B1D"/>
    <w:rsid w:val="00BB3E3C"/>
    <w:rsid w:val="00BB48F7"/>
    <w:rsid w:val="00BB5B8F"/>
    <w:rsid w:val="00BB5EC2"/>
    <w:rsid w:val="00BB6233"/>
    <w:rsid w:val="00BB6906"/>
    <w:rsid w:val="00BC091A"/>
    <w:rsid w:val="00BC1203"/>
    <w:rsid w:val="00BC12E7"/>
    <w:rsid w:val="00BC1E7D"/>
    <w:rsid w:val="00BC2D0B"/>
    <w:rsid w:val="00BC39FB"/>
    <w:rsid w:val="00BC435F"/>
    <w:rsid w:val="00BC70C7"/>
    <w:rsid w:val="00BC7972"/>
    <w:rsid w:val="00BD1D21"/>
    <w:rsid w:val="00BD3B16"/>
    <w:rsid w:val="00BD3BAF"/>
    <w:rsid w:val="00BD3F93"/>
    <w:rsid w:val="00BD489D"/>
    <w:rsid w:val="00BD72B4"/>
    <w:rsid w:val="00BD787F"/>
    <w:rsid w:val="00BD7979"/>
    <w:rsid w:val="00BE04EC"/>
    <w:rsid w:val="00BE4724"/>
    <w:rsid w:val="00BE4A95"/>
    <w:rsid w:val="00BE57FA"/>
    <w:rsid w:val="00BE5DA7"/>
    <w:rsid w:val="00BE6254"/>
    <w:rsid w:val="00BE6B7F"/>
    <w:rsid w:val="00BE7810"/>
    <w:rsid w:val="00BE79D5"/>
    <w:rsid w:val="00BE7EA1"/>
    <w:rsid w:val="00BF1FD6"/>
    <w:rsid w:val="00BF27E2"/>
    <w:rsid w:val="00BF2952"/>
    <w:rsid w:val="00BF2F48"/>
    <w:rsid w:val="00BF3029"/>
    <w:rsid w:val="00BF42B6"/>
    <w:rsid w:val="00BF47BB"/>
    <w:rsid w:val="00BF5410"/>
    <w:rsid w:val="00BF541E"/>
    <w:rsid w:val="00BF5B4C"/>
    <w:rsid w:val="00BF5E93"/>
    <w:rsid w:val="00BF5EF2"/>
    <w:rsid w:val="00BF74A7"/>
    <w:rsid w:val="00BF789F"/>
    <w:rsid w:val="00C018DD"/>
    <w:rsid w:val="00C01A86"/>
    <w:rsid w:val="00C023F1"/>
    <w:rsid w:val="00C04B4B"/>
    <w:rsid w:val="00C05F55"/>
    <w:rsid w:val="00C060E3"/>
    <w:rsid w:val="00C062C7"/>
    <w:rsid w:val="00C063E3"/>
    <w:rsid w:val="00C07413"/>
    <w:rsid w:val="00C07757"/>
    <w:rsid w:val="00C1159A"/>
    <w:rsid w:val="00C14A82"/>
    <w:rsid w:val="00C15158"/>
    <w:rsid w:val="00C16060"/>
    <w:rsid w:val="00C174CD"/>
    <w:rsid w:val="00C20C17"/>
    <w:rsid w:val="00C221B6"/>
    <w:rsid w:val="00C2314A"/>
    <w:rsid w:val="00C24924"/>
    <w:rsid w:val="00C24AA5"/>
    <w:rsid w:val="00C25014"/>
    <w:rsid w:val="00C25E95"/>
    <w:rsid w:val="00C2718D"/>
    <w:rsid w:val="00C27E59"/>
    <w:rsid w:val="00C32524"/>
    <w:rsid w:val="00C32E39"/>
    <w:rsid w:val="00C342A7"/>
    <w:rsid w:val="00C3741F"/>
    <w:rsid w:val="00C375FA"/>
    <w:rsid w:val="00C41306"/>
    <w:rsid w:val="00C41648"/>
    <w:rsid w:val="00C41725"/>
    <w:rsid w:val="00C4173B"/>
    <w:rsid w:val="00C42875"/>
    <w:rsid w:val="00C42FDA"/>
    <w:rsid w:val="00C443E3"/>
    <w:rsid w:val="00C44D4B"/>
    <w:rsid w:val="00C4603E"/>
    <w:rsid w:val="00C517E0"/>
    <w:rsid w:val="00C519A9"/>
    <w:rsid w:val="00C53EFB"/>
    <w:rsid w:val="00C54847"/>
    <w:rsid w:val="00C54A74"/>
    <w:rsid w:val="00C5723A"/>
    <w:rsid w:val="00C60EC3"/>
    <w:rsid w:val="00C61D72"/>
    <w:rsid w:val="00C62D83"/>
    <w:rsid w:val="00C64629"/>
    <w:rsid w:val="00C64E06"/>
    <w:rsid w:val="00C651A3"/>
    <w:rsid w:val="00C65B9F"/>
    <w:rsid w:val="00C66021"/>
    <w:rsid w:val="00C66E4F"/>
    <w:rsid w:val="00C672D1"/>
    <w:rsid w:val="00C7042F"/>
    <w:rsid w:val="00C727F9"/>
    <w:rsid w:val="00C74EB2"/>
    <w:rsid w:val="00C76167"/>
    <w:rsid w:val="00C76753"/>
    <w:rsid w:val="00C76D03"/>
    <w:rsid w:val="00C77084"/>
    <w:rsid w:val="00C778C4"/>
    <w:rsid w:val="00C77C73"/>
    <w:rsid w:val="00C8188E"/>
    <w:rsid w:val="00C82652"/>
    <w:rsid w:val="00C8320A"/>
    <w:rsid w:val="00C8404A"/>
    <w:rsid w:val="00C8409B"/>
    <w:rsid w:val="00C844E5"/>
    <w:rsid w:val="00C85328"/>
    <w:rsid w:val="00C863EF"/>
    <w:rsid w:val="00C870B8"/>
    <w:rsid w:val="00C90A72"/>
    <w:rsid w:val="00C90E85"/>
    <w:rsid w:val="00C92713"/>
    <w:rsid w:val="00C9301A"/>
    <w:rsid w:val="00C9413D"/>
    <w:rsid w:val="00C94C5C"/>
    <w:rsid w:val="00C94E49"/>
    <w:rsid w:val="00C95315"/>
    <w:rsid w:val="00C96976"/>
    <w:rsid w:val="00C97BE2"/>
    <w:rsid w:val="00CA0650"/>
    <w:rsid w:val="00CA11E8"/>
    <w:rsid w:val="00CA16C2"/>
    <w:rsid w:val="00CA2291"/>
    <w:rsid w:val="00CA48D3"/>
    <w:rsid w:val="00CA4C03"/>
    <w:rsid w:val="00CA4D7D"/>
    <w:rsid w:val="00CA577D"/>
    <w:rsid w:val="00CA672A"/>
    <w:rsid w:val="00CB1D77"/>
    <w:rsid w:val="00CB1F3A"/>
    <w:rsid w:val="00CB4CD8"/>
    <w:rsid w:val="00CC1364"/>
    <w:rsid w:val="00CC1516"/>
    <w:rsid w:val="00CC17F3"/>
    <w:rsid w:val="00CC2147"/>
    <w:rsid w:val="00CC2DB7"/>
    <w:rsid w:val="00CC34C5"/>
    <w:rsid w:val="00CC3ED8"/>
    <w:rsid w:val="00CC413C"/>
    <w:rsid w:val="00CC6CE8"/>
    <w:rsid w:val="00CC77E4"/>
    <w:rsid w:val="00CC7FCF"/>
    <w:rsid w:val="00CD2982"/>
    <w:rsid w:val="00CD42B7"/>
    <w:rsid w:val="00CD5B0E"/>
    <w:rsid w:val="00CD5F6A"/>
    <w:rsid w:val="00CD6318"/>
    <w:rsid w:val="00CD79F8"/>
    <w:rsid w:val="00CD7A0A"/>
    <w:rsid w:val="00CD7A59"/>
    <w:rsid w:val="00CE10A0"/>
    <w:rsid w:val="00CE241B"/>
    <w:rsid w:val="00CE26EE"/>
    <w:rsid w:val="00CE3C82"/>
    <w:rsid w:val="00CE3D00"/>
    <w:rsid w:val="00CE5FFE"/>
    <w:rsid w:val="00CE6EB9"/>
    <w:rsid w:val="00CE7D36"/>
    <w:rsid w:val="00CF01B0"/>
    <w:rsid w:val="00CF036E"/>
    <w:rsid w:val="00CF07C3"/>
    <w:rsid w:val="00CF1001"/>
    <w:rsid w:val="00CF219F"/>
    <w:rsid w:val="00CF22CB"/>
    <w:rsid w:val="00CF3C21"/>
    <w:rsid w:val="00CF4829"/>
    <w:rsid w:val="00CF671B"/>
    <w:rsid w:val="00CF6B9D"/>
    <w:rsid w:val="00D013A2"/>
    <w:rsid w:val="00D013AD"/>
    <w:rsid w:val="00D015B9"/>
    <w:rsid w:val="00D042B1"/>
    <w:rsid w:val="00D071F5"/>
    <w:rsid w:val="00D07966"/>
    <w:rsid w:val="00D07BEC"/>
    <w:rsid w:val="00D10573"/>
    <w:rsid w:val="00D11A0F"/>
    <w:rsid w:val="00D11C08"/>
    <w:rsid w:val="00D12249"/>
    <w:rsid w:val="00D12E25"/>
    <w:rsid w:val="00D142F9"/>
    <w:rsid w:val="00D15941"/>
    <w:rsid w:val="00D16343"/>
    <w:rsid w:val="00D17177"/>
    <w:rsid w:val="00D17B9F"/>
    <w:rsid w:val="00D200B8"/>
    <w:rsid w:val="00D210C9"/>
    <w:rsid w:val="00D21131"/>
    <w:rsid w:val="00D2202F"/>
    <w:rsid w:val="00D22947"/>
    <w:rsid w:val="00D24E7C"/>
    <w:rsid w:val="00D2548F"/>
    <w:rsid w:val="00D26B72"/>
    <w:rsid w:val="00D26EAD"/>
    <w:rsid w:val="00D3465A"/>
    <w:rsid w:val="00D357C2"/>
    <w:rsid w:val="00D361E8"/>
    <w:rsid w:val="00D376C6"/>
    <w:rsid w:val="00D40133"/>
    <w:rsid w:val="00D40D54"/>
    <w:rsid w:val="00D40FE4"/>
    <w:rsid w:val="00D41B1B"/>
    <w:rsid w:val="00D42392"/>
    <w:rsid w:val="00D43281"/>
    <w:rsid w:val="00D442FA"/>
    <w:rsid w:val="00D44CA9"/>
    <w:rsid w:val="00D450C1"/>
    <w:rsid w:val="00D45396"/>
    <w:rsid w:val="00D45DE5"/>
    <w:rsid w:val="00D47845"/>
    <w:rsid w:val="00D4799D"/>
    <w:rsid w:val="00D50E40"/>
    <w:rsid w:val="00D511D7"/>
    <w:rsid w:val="00D5201D"/>
    <w:rsid w:val="00D52D14"/>
    <w:rsid w:val="00D52D89"/>
    <w:rsid w:val="00D53E1C"/>
    <w:rsid w:val="00D54621"/>
    <w:rsid w:val="00D5576B"/>
    <w:rsid w:val="00D55ED9"/>
    <w:rsid w:val="00D60B86"/>
    <w:rsid w:val="00D6112E"/>
    <w:rsid w:val="00D62AA2"/>
    <w:rsid w:val="00D645E0"/>
    <w:rsid w:val="00D6461F"/>
    <w:rsid w:val="00D64EB4"/>
    <w:rsid w:val="00D66D2F"/>
    <w:rsid w:val="00D66E63"/>
    <w:rsid w:val="00D67052"/>
    <w:rsid w:val="00D6779F"/>
    <w:rsid w:val="00D679BD"/>
    <w:rsid w:val="00D702B0"/>
    <w:rsid w:val="00D7182F"/>
    <w:rsid w:val="00D71A68"/>
    <w:rsid w:val="00D7321F"/>
    <w:rsid w:val="00D738BC"/>
    <w:rsid w:val="00D73D57"/>
    <w:rsid w:val="00D73FD2"/>
    <w:rsid w:val="00D74691"/>
    <w:rsid w:val="00D747DB"/>
    <w:rsid w:val="00D74CAB"/>
    <w:rsid w:val="00D75DE3"/>
    <w:rsid w:val="00D75FE2"/>
    <w:rsid w:val="00D76DE4"/>
    <w:rsid w:val="00D76FAF"/>
    <w:rsid w:val="00D80790"/>
    <w:rsid w:val="00D82A95"/>
    <w:rsid w:val="00D85F8A"/>
    <w:rsid w:val="00D90DBB"/>
    <w:rsid w:val="00D91453"/>
    <w:rsid w:val="00D91ECE"/>
    <w:rsid w:val="00D91F1A"/>
    <w:rsid w:val="00D92A04"/>
    <w:rsid w:val="00D93320"/>
    <w:rsid w:val="00D93A2F"/>
    <w:rsid w:val="00D963A5"/>
    <w:rsid w:val="00D970AF"/>
    <w:rsid w:val="00D976FB"/>
    <w:rsid w:val="00DA13EA"/>
    <w:rsid w:val="00DA21C5"/>
    <w:rsid w:val="00DA316F"/>
    <w:rsid w:val="00DA3336"/>
    <w:rsid w:val="00DA4A86"/>
    <w:rsid w:val="00DA5C7F"/>
    <w:rsid w:val="00DA79CB"/>
    <w:rsid w:val="00DB0E0C"/>
    <w:rsid w:val="00DB26A2"/>
    <w:rsid w:val="00DB2918"/>
    <w:rsid w:val="00DB2A32"/>
    <w:rsid w:val="00DB2E6A"/>
    <w:rsid w:val="00DB2ED7"/>
    <w:rsid w:val="00DB419F"/>
    <w:rsid w:val="00DB487B"/>
    <w:rsid w:val="00DC0913"/>
    <w:rsid w:val="00DC17E5"/>
    <w:rsid w:val="00DC1EA1"/>
    <w:rsid w:val="00DC3526"/>
    <w:rsid w:val="00DC393D"/>
    <w:rsid w:val="00DC6B88"/>
    <w:rsid w:val="00DC747C"/>
    <w:rsid w:val="00DC78C6"/>
    <w:rsid w:val="00DD01A8"/>
    <w:rsid w:val="00DD2097"/>
    <w:rsid w:val="00DD20F0"/>
    <w:rsid w:val="00DD27E6"/>
    <w:rsid w:val="00DD2814"/>
    <w:rsid w:val="00DD2C8B"/>
    <w:rsid w:val="00DD427D"/>
    <w:rsid w:val="00DD4B38"/>
    <w:rsid w:val="00DD5A35"/>
    <w:rsid w:val="00DD6850"/>
    <w:rsid w:val="00DD6895"/>
    <w:rsid w:val="00DD6CC4"/>
    <w:rsid w:val="00DD6E47"/>
    <w:rsid w:val="00DD7A9C"/>
    <w:rsid w:val="00DE13CB"/>
    <w:rsid w:val="00DE157D"/>
    <w:rsid w:val="00DE15EF"/>
    <w:rsid w:val="00DE405C"/>
    <w:rsid w:val="00DE53A4"/>
    <w:rsid w:val="00DE5FA8"/>
    <w:rsid w:val="00DE663A"/>
    <w:rsid w:val="00DE6EF2"/>
    <w:rsid w:val="00DF340A"/>
    <w:rsid w:val="00DF372D"/>
    <w:rsid w:val="00DF5CE8"/>
    <w:rsid w:val="00DF7091"/>
    <w:rsid w:val="00E00D1F"/>
    <w:rsid w:val="00E0209C"/>
    <w:rsid w:val="00E02BD0"/>
    <w:rsid w:val="00E032B9"/>
    <w:rsid w:val="00E041EC"/>
    <w:rsid w:val="00E10727"/>
    <w:rsid w:val="00E107E8"/>
    <w:rsid w:val="00E110B3"/>
    <w:rsid w:val="00E11390"/>
    <w:rsid w:val="00E114C8"/>
    <w:rsid w:val="00E127B2"/>
    <w:rsid w:val="00E13F58"/>
    <w:rsid w:val="00E1466B"/>
    <w:rsid w:val="00E15C8C"/>
    <w:rsid w:val="00E15D30"/>
    <w:rsid w:val="00E16B53"/>
    <w:rsid w:val="00E17AE2"/>
    <w:rsid w:val="00E20A44"/>
    <w:rsid w:val="00E20FE6"/>
    <w:rsid w:val="00E22EAF"/>
    <w:rsid w:val="00E2595C"/>
    <w:rsid w:val="00E26D7B"/>
    <w:rsid w:val="00E272FF"/>
    <w:rsid w:val="00E27350"/>
    <w:rsid w:val="00E30165"/>
    <w:rsid w:val="00E3074E"/>
    <w:rsid w:val="00E30F5F"/>
    <w:rsid w:val="00E3405E"/>
    <w:rsid w:val="00E34F68"/>
    <w:rsid w:val="00E37508"/>
    <w:rsid w:val="00E40296"/>
    <w:rsid w:val="00E42403"/>
    <w:rsid w:val="00E42772"/>
    <w:rsid w:val="00E42962"/>
    <w:rsid w:val="00E45953"/>
    <w:rsid w:val="00E4647E"/>
    <w:rsid w:val="00E46C45"/>
    <w:rsid w:val="00E46E18"/>
    <w:rsid w:val="00E471EE"/>
    <w:rsid w:val="00E47CA0"/>
    <w:rsid w:val="00E509D1"/>
    <w:rsid w:val="00E51093"/>
    <w:rsid w:val="00E5223B"/>
    <w:rsid w:val="00E523EB"/>
    <w:rsid w:val="00E532C0"/>
    <w:rsid w:val="00E5333E"/>
    <w:rsid w:val="00E54E73"/>
    <w:rsid w:val="00E558B7"/>
    <w:rsid w:val="00E56175"/>
    <w:rsid w:val="00E56BDC"/>
    <w:rsid w:val="00E572F6"/>
    <w:rsid w:val="00E57381"/>
    <w:rsid w:val="00E57E39"/>
    <w:rsid w:val="00E57F9D"/>
    <w:rsid w:val="00E62051"/>
    <w:rsid w:val="00E63B45"/>
    <w:rsid w:val="00E643C4"/>
    <w:rsid w:val="00E64B8C"/>
    <w:rsid w:val="00E709BF"/>
    <w:rsid w:val="00E7142E"/>
    <w:rsid w:val="00E719AE"/>
    <w:rsid w:val="00E7544F"/>
    <w:rsid w:val="00E760C8"/>
    <w:rsid w:val="00E76915"/>
    <w:rsid w:val="00E77C3F"/>
    <w:rsid w:val="00E80810"/>
    <w:rsid w:val="00E81CE1"/>
    <w:rsid w:val="00E81EA5"/>
    <w:rsid w:val="00E837D0"/>
    <w:rsid w:val="00E842C6"/>
    <w:rsid w:val="00E86131"/>
    <w:rsid w:val="00E8679B"/>
    <w:rsid w:val="00E87A47"/>
    <w:rsid w:val="00E90FBC"/>
    <w:rsid w:val="00E91125"/>
    <w:rsid w:val="00E922CA"/>
    <w:rsid w:val="00E938AB"/>
    <w:rsid w:val="00E943E6"/>
    <w:rsid w:val="00E94B1B"/>
    <w:rsid w:val="00E94EBA"/>
    <w:rsid w:val="00E95685"/>
    <w:rsid w:val="00E96F8F"/>
    <w:rsid w:val="00E96FC7"/>
    <w:rsid w:val="00E97616"/>
    <w:rsid w:val="00EA0625"/>
    <w:rsid w:val="00EA108F"/>
    <w:rsid w:val="00EA1470"/>
    <w:rsid w:val="00EA1EF7"/>
    <w:rsid w:val="00EA216F"/>
    <w:rsid w:val="00EA22ED"/>
    <w:rsid w:val="00EA23EE"/>
    <w:rsid w:val="00EA2DBD"/>
    <w:rsid w:val="00EA38F0"/>
    <w:rsid w:val="00EA45D3"/>
    <w:rsid w:val="00EA5816"/>
    <w:rsid w:val="00EA624B"/>
    <w:rsid w:val="00EB14E2"/>
    <w:rsid w:val="00EB1CEB"/>
    <w:rsid w:val="00EB2084"/>
    <w:rsid w:val="00EB5B7B"/>
    <w:rsid w:val="00EC0E27"/>
    <w:rsid w:val="00EC17A1"/>
    <w:rsid w:val="00EC1D40"/>
    <w:rsid w:val="00EC1F41"/>
    <w:rsid w:val="00EC36A4"/>
    <w:rsid w:val="00EC4608"/>
    <w:rsid w:val="00EC4AFA"/>
    <w:rsid w:val="00EC6AAA"/>
    <w:rsid w:val="00EC6C68"/>
    <w:rsid w:val="00EC7ABA"/>
    <w:rsid w:val="00ED0E90"/>
    <w:rsid w:val="00ED11D7"/>
    <w:rsid w:val="00ED15DD"/>
    <w:rsid w:val="00ED1743"/>
    <w:rsid w:val="00ED201E"/>
    <w:rsid w:val="00ED202E"/>
    <w:rsid w:val="00ED6CFE"/>
    <w:rsid w:val="00EE0976"/>
    <w:rsid w:val="00EE2576"/>
    <w:rsid w:val="00EE2600"/>
    <w:rsid w:val="00EE2937"/>
    <w:rsid w:val="00EE3020"/>
    <w:rsid w:val="00EE4A76"/>
    <w:rsid w:val="00EE5F7A"/>
    <w:rsid w:val="00EE628B"/>
    <w:rsid w:val="00EE7BF4"/>
    <w:rsid w:val="00EE7EFF"/>
    <w:rsid w:val="00EF0997"/>
    <w:rsid w:val="00EF1F2A"/>
    <w:rsid w:val="00EF31FC"/>
    <w:rsid w:val="00EF41CF"/>
    <w:rsid w:val="00EF4BAB"/>
    <w:rsid w:val="00EF5180"/>
    <w:rsid w:val="00EF535A"/>
    <w:rsid w:val="00EF5FE7"/>
    <w:rsid w:val="00F00C7D"/>
    <w:rsid w:val="00F02088"/>
    <w:rsid w:val="00F0229E"/>
    <w:rsid w:val="00F02984"/>
    <w:rsid w:val="00F0438E"/>
    <w:rsid w:val="00F04F96"/>
    <w:rsid w:val="00F115DA"/>
    <w:rsid w:val="00F11FCD"/>
    <w:rsid w:val="00F140AC"/>
    <w:rsid w:val="00F143E5"/>
    <w:rsid w:val="00F15362"/>
    <w:rsid w:val="00F159CC"/>
    <w:rsid w:val="00F15BF1"/>
    <w:rsid w:val="00F15FC0"/>
    <w:rsid w:val="00F160F2"/>
    <w:rsid w:val="00F1748A"/>
    <w:rsid w:val="00F17E48"/>
    <w:rsid w:val="00F208D5"/>
    <w:rsid w:val="00F2142B"/>
    <w:rsid w:val="00F215D0"/>
    <w:rsid w:val="00F239C1"/>
    <w:rsid w:val="00F252F1"/>
    <w:rsid w:val="00F254E4"/>
    <w:rsid w:val="00F257A6"/>
    <w:rsid w:val="00F26F9C"/>
    <w:rsid w:val="00F274A7"/>
    <w:rsid w:val="00F274C3"/>
    <w:rsid w:val="00F30745"/>
    <w:rsid w:val="00F30E11"/>
    <w:rsid w:val="00F30F64"/>
    <w:rsid w:val="00F3214A"/>
    <w:rsid w:val="00F32813"/>
    <w:rsid w:val="00F32AAF"/>
    <w:rsid w:val="00F33716"/>
    <w:rsid w:val="00F3402E"/>
    <w:rsid w:val="00F3619D"/>
    <w:rsid w:val="00F3685C"/>
    <w:rsid w:val="00F369BD"/>
    <w:rsid w:val="00F36A56"/>
    <w:rsid w:val="00F40AB8"/>
    <w:rsid w:val="00F4174D"/>
    <w:rsid w:val="00F43559"/>
    <w:rsid w:val="00F44EA0"/>
    <w:rsid w:val="00F44FDB"/>
    <w:rsid w:val="00F45907"/>
    <w:rsid w:val="00F462F8"/>
    <w:rsid w:val="00F47602"/>
    <w:rsid w:val="00F47C09"/>
    <w:rsid w:val="00F5199B"/>
    <w:rsid w:val="00F51EBF"/>
    <w:rsid w:val="00F520A5"/>
    <w:rsid w:val="00F5404C"/>
    <w:rsid w:val="00F54230"/>
    <w:rsid w:val="00F55290"/>
    <w:rsid w:val="00F56777"/>
    <w:rsid w:val="00F56C25"/>
    <w:rsid w:val="00F578C4"/>
    <w:rsid w:val="00F60461"/>
    <w:rsid w:val="00F62B38"/>
    <w:rsid w:val="00F62E40"/>
    <w:rsid w:val="00F62E95"/>
    <w:rsid w:val="00F647BF"/>
    <w:rsid w:val="00F65E86"/>
    <w:rsid w:val="00F7021B"/>
    <w:rsid w:val="00F70CD0"/>
    <w:rsid w:val="00F71E97"/>
    <w:rsid w:val="00F7219D"/>
    <w:rsid w:val="00F72F9B"/>
    <w:rsid w:val="00F73520"/>
    <w:rsid w:val="00F74EEC"/>
    <w:rsid w:val="00F75A5A"/>
    <w:rsid w:val="00F76994"/>
    <w:rsid w:val="00F771F1"/>
    <w:rsid w:val="00F77542"/>
    <w:rsid w:val="00F81E6F"/>
    <w:rsid w:val="00F83560"/>
    <w:rsid w:val="00F84369"/>
    <w:rsid w:val="00F86BAA"/>
    <w:rsid w:val="00F90311"/>
    <w:rsid w:val="00F908A0"/>
    <w:rsid w:val="00F927BD"/>
    <w:rsid w:val="00F928B3"/>
    <w:rsid w:val="00F9387B"/>
    <w:rsid w:val="00F94729"/>
    <w:rsid w:val="00F94E21"/>
    <w:rsid w:val="00F95D69"/>
    <w:rsid w:val="00F96BC0"/>
    <w:rsid w:val="00F97AFF"/>
    <w:rsid w:val="00FA12FB"/>
    <w:rsid w:val="00FA1501"/>
    <w:rsid w:val="00FA302C"/>
    <w:rsid w:val="00FA350C"/>
    <w:rsid w:val="00FA4201"/>
    <w:rsid w:val="00FA50BD"/>
    <w:rsid w:val="00FA6059"/>
    <w:rsid w:val="00FA6A9E"/>
    <w:rsid w:val="00FA773A"/>
    <w:rsid w:val="00FA7926"/>
    <w:rsid w:val="00FA7B76"/>
    <w:rsid w:val="00FB494F"/>
    <w:rsid w:val="00FB51EA"/>
    <w:rsid w:val="00FB526F"/>
    <w:rsid w:val="00FB592A"/>
    <w:rsid w:val="00FB629E"/>
    <w:rsid w:val="00FB7DCB"/>
    <w:rsid w:val="00FC2A34"/>
    <w:rsid w:val="00FC2E9A"/>
    <w:rsid w:val="00FC470E"/>
    <w:rsid w:val="00FC4B0D"/>
    <w:rsid w:val="00FC5CC6"/>
    <w:rsid w:val="00FC60E9"/>
    <w:rsid w:val="00FC6CC4"/>
    <w:rsid w:val="00FC7085"/>
    <w:rsid w:val="00FD0B73"/>
    <w:rsid w:val="00FD0BEB"/>
    <w:rsid w:val="00FD0D39"/>
    <w:rsid w:val="00FD1105"/>
    <w:rsid w:val="00FD1DD5"/>
    <w:rsid w:val="00FD26ED"/>
    <w:rsid w:val="00FD5D0A"/>
    <w:rsid w:val="00FD651D"/>
    <w:rsid w:val="00FD6A58"/>
    <w:rsid w:val="00FD76C3"/>
    <w:rsid w:val="00FD7D4E"/>
    <w:rsid w:val="00FD7DC1"/>
    <w:rsid w:val="00FE152A"/>
    <w:rsid w:val="00FE71E3"/>
    <w:rsid w:val="00FF0225"/>
    <w:rsid w:val="00FF0F24"/>
    <w:rsid w:val="00FF1F92"/>
    <w:rsid w:val="00FF2421"/>
    <w:rsid w:val="00FF5D25"/>
    <w:rsid w:val="00FF6052"/>
    <w:rsid w:val="00FF6F93"/>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79806"/>
  <w15:docId w15:val="{FA448D26-604A-42CA-85D6-11C52A64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8AB"/>
    <w:rPr>
      <w:sz w:val="24"/>
      <w:szCs w:val="24"/>
    </w:rPr>
  </w:style>
  <w:style w:type="paragraph" w:styleId="1">
    <w:name w:val="heading 1"/>
    <w:basedOn w:val="a"/>
    <w:link w:val="10"/>
    <w:uiPriority w:val="9"/>
    <w:qFormat/>
    <w:rsid w:val="00DA316F"/>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0D69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F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02F5A"/>
    <w:pPr>
      <w:tabs>
        <w:tab w:val="center" w:pos="4677"/>
        <w:tab w:val="right" w:pos="9355"/>
      </w:tabs>
    </w:pPr>
    <w:rPr>
      <w:sz w:val="28"/>
      <w:szCs w:val="20"/>
    </w:rPr>
  </w:style>
  <w:style w:type="character" w:styleId="a6">
    <w:name w:val="page number"/>
    <w:basedOn w:val="a0"/>
    <w:rsid w:val="00002F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25D72"/>
    <w:pPr>
      <w:spacing w:before="100" w:beforeAutospacing="1" w:after="100" w:afterAutospacing="1"/>
    </w:pPr>
    <w:rPr>
      <w:rFonts w:ascii="Tahoma" w:hAnsi="Tahoma" w:cs="Tahoma"/>
      <w:sz w:val="20"/>
      <w:szCs w:val="20"/>
      <w:lang w:val="en-US" w:eastAsia="en-US"/>
    </w:rPr>
  </w:style>
  <w:style w:type="paragraph" w:styleId="a7">
    <w:name w:val="Balloon Text"/>
    <w:basedOn w:val="a"/>
    <w:link w:val="a8"/>
    <w:rsid w:val="00470E02"/>
    <w:rPr>
      <w:rFonts w:ascii="Tahoma" w:hAnsi="Tahoma" w:cs="Tahoma"/>
      <w:sz w:val="16"/>
      <w:szCs w:val="16"/>
    </w:rPr>
  </w:style>
  <w:style w:type="character" w:customStyle="1" w:styleId="a8">
    <w:name w:val="Текст выноски Знак"/>
    <w:link w:val="a7"/>
    <w:rsid w:val="00470E02"/>
    <w:rPr>
      <w:rFonts w:ascii="Tahoma" w:hAnsi="Tahoma" w:cs="Tahoma"/>
      <w:sz w:val="16"/>
      <w:szCs w:val="16"/>
    </w:rPr>
  </w:style>
  <w:style w:type="character" w:styleId="a9">
    <w:name w:val="Hyperlink"/>
    <w:uiPriority w:val="99"/>
    <w:rsid w:val="00074E09"/>
    <w:rPr>
      <w:color w:val="0000FF"/>
      <w:u w:val="single"/>
    </w:rPr>
  </w:style>
  <w:style w:type="paragraph" w:styleId="aa">
    <w:name w:val="footer"/>
    <w:basedOn w:val="a"/>
    <w:link w:val="ab"/>
    <w:rsid w:val="00A13A1C"/>
    <w:pPr>
      <w:tabs>
        <w:tab w:val="center" w:pos="4677"/>
        <w:tab w:val="right" w:pos="9355"/>
      </w:tabs>
    </w:pPr>
    <w:rPr>
      <w:sz w:val="28"/>
      <w:szCs w:val="20"/>
    </w:rPr>
  </w:style>
  <w:style w:type="character" w:customStyle="1" w:styleId="ab">
    <w:name w:val="Нижний колонтитул Знак"/>
    <w:link w:val="aa"/>
    <w:rsid w:val="00A13A1C"/>
    <w:rPr>
      <w:sz w:val="28"/>
    </w:rPr>
  </w:style>
  <w:style w:type="character" w:customStyle="1" w:styleId="a5">
    <w:name w:val="Верхний колонтитул Знак"/>
    <w:link w:val="a4"/>
    <w:uiPriority w:val="99"/>
    <w:rsid w:val="00A13A1C"/>
    <w:rPr>
      <w:sz w:val="28"/>
    </w:rPr>
  </w:style>
  <w:style w:type="character" w:customStyle="1" w:styleId="10">
    <w:name w:val="Заголовок 1 Знак"/>
    <w:link w:val="1"/>
    <w:uiPriority w:val="9"/>
    <w:rsid w:val="00DA316F"/>
    <w:rPr>
      <w:b/>
      <w:bCs/>
      <w:kern w:val="36"/>
      <w:sz w:val="48"/>
      <w:szCs w:val="48"/>
    </w:rPr>
  </w:style>
  <w:style w:type="character" w:customStyle="1" w:styleId="ac">
    <w:name w:val="Цветовое выделение"/>
    <w:uiPriority w:val="99"/>
    <w:rsid w:val="004413D9"/>
    <w:rPr>
      <w:b/>
      <w:bCs/>
      <w:color w:val="26282F"/>
    </w:rPr>
  </w:style>
  <w:style w:type="character" w:customStyle="1" w:styleId="ad">
    <w:name w:val="Гипертекстовая ссылка"/>
    <w:uiPriority w:val="99"/>
    <w:rsid w:val="004413D9"/>
    <w:rPr>
      <w:b w:val="0"/>
      <w:bCs w:val="0"/>
      <w:color w:val="106BBE"/>
    </w:rPr>
  </w:style>
  <w:style w:type="paragraph" w:customStyle="1" w:styleId="ae">
    <w:name w:val="Заголовок статьи"/>
    <w:basedOn w:val="a"/>
    <w:next w:val="a"/>
    <w:uiPriority w:val="99"/>
    <w:rsid w:val="004413D9"/>
    <w:pPr>
      <w:autoSpaceDE w:val="0"/>
      <w:autoSpaceDN w:val="0"/>
      <w:adjustRightInd w:val="0"/>
      <w:ind w:left="1612" w:hanging="892"/>
      <w:jc w:val="both"/>
    </w:pPr>
    <w:rPr>
      <w:rFonts w:ascii="Arial" w:hAnsi="Arial" w:cs="Arial"/>
    </w:rPr>
  </w:style>
  <w:style w:type="paragraph" w:customStyle="1" w:styleId="af">
    <w:name w:val="Комментарий"/>
    <w:basedOn w:val="a"/>
    <w:next w:val="a"/>
    <w:uiPriority w:val="99"/>
    <w:rsid w:val="004413D9"/>
    <w:pPr>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4413D9"/>
    <w:rPr>
      <w:i/>
      <w:iCs/>
    </w:rPr>
  </w:style>
  <w:style w:type="character" w:customStyle="1" w:styleId="blk">
    <w:name w:val="blk"/>
    <w:rsid w:val="00635F3D"/>
  </w:style>
  <w:style w:type="character" w:customStyle="1" w:styleId="pagesindoc">
    <w:name w:val="pagesindoc"/>
    <w:rsid w:val="00863FB8"/>
  </w:style>
  <w:style w:type="character" w:customStyle="1" w:styleId="pagesindoccount">
    <w:name w:val="pagesindoccount"/>
    <w:rsid w:val="00863FB8"/>
  </w:style>
  <w:style w:type="paragraph" w:styleId="af1">
    <w:name w:val="List Paragraph"/>
    <w:basedOn w:val="a"/>
    <w:uiPriority w:val="34"/>
    <w:qFormat/>
    <w:rsid w:val="00B45A2F"/>
    <w:pPr>
      <w:spacing w:line="360" w:lineRule="auto"/>
      <w:ind w:left="720" w:firstLine="709"/>
      <w:contextualSpacing/>
    </w:pPr>
    <w:rPr>
      <w:rFonts w:eastAsia="Calibri"/>
      <w:sz w:val="28"/>
      <w:szCs w:val="22"/>
      <w:lang w:eastAsia="en-US"/>
    </w:rPr>
  </w:style>
  <w:style w:type="character" w:customStyle="1" w:styleId="af2">
    <w:name w:val="Основной текст_"/>
    <w:link w:val="11"/>
    <w:locked/>
    <w:rsid w:val="00BA4AB7"/>
    <w:rPr>
      <w:spacing w:val="4"/>
      <w:sz w:val="25"/>
      <w:szCs w:val="25"/>
      <w:shd w:val="clear" w:color="auto" w:fill="FFFFFF"/>
    </w:rPr>
  </w:style>
  <w:style w:type="paragraph" w:customStyle="1" w:styleId="11">
    <w:name w:val="Основной текст1"/>
    <w:basedOn w:val="a"/>
    <w:link w:val="af2"/>
    <w:rsid w:val="00BA4AB7"/>
    <w:pPr>
      <w:widowControl w:val="0"/>
      <w:shd w:val="clear" w:color="auto" w:fill="FFFFFF"/>
      <w:spacing w:after="420" w:line="0" w:lineRule="atLeast"/>
    </w:pPr>
    <w:rPr>
      <w:spacing w:val="4"/>
      <w:sz w:val="25"/>
      <w:szCs w:val="25"/>
    </w:rPr>
  </w:style>
  <w:style w:type="character" w:customStyle="1" w:styleId="3">
    <w:name w:val="Основной текст (3)_"/>
    <w:link w:val="30"/>
    <w:rsid w:val="009F3C04"/>
    <w:rPr>
      <w:b/>
      <w:bCs/>
      <w:sz w:val="15"/>
      <w:szCs w:val="15"/>
      <w:shd w:val="clear" w:color="auto" w:fill="FFFFFF"/>
    </w:rPr>
  </w:style>
  <w:style w:type="paragraph" w:customStyle="1" w:styleId="30">
    <w:name w:val="Основной текст (3)"/>
    <w:basedOn w:val="a"/>
    <w:link w:val="3"/>
    <w:rsid w:val="009F3C04"/>
    <w:pPr>
      <w:widowControl w:val="0"/>
      <w:shd w:val="clear" w:color="auto" w:fill="FFFFFF"/>
    </w:pPr>
    <w:rPr>
      <w:b/>
      <w:bCs/>
      <w:sz w:val="15"/>
      <w:szCs w:val="15"/>
    </w:rPr>
  </w:style>
  <w:style w:type="character" w:customStyle="1" w:styleId="card-view-toolbartitle-name">
    <w:name w:val="card-view-toolbar__title-name"/>
    <w:rsid w:val="00AF3DAD"/>
  </w:style>
  <w:style w:type="paragraph" w:customStyle="1" w:styleId="Default">
    <w:name w:val="Default"/>
    <w:rsid w:val="005C1A5B"/>
    <w:pPr>
      <w:autoSpaceDE w:val="0"/>
      <w:autoSpaceDN w:val="0"/>
      <w:adjustRightInd w:val="0"/>
    </w:pPr>
    <w:rPr>
      <w:rFonts w:eastAsiaTheme="minorHAnsi"/>
      <w:color w:val="000000"/>
      <w:sz w:val="24"/>
      <w:szCs w:val="24"/>
      <w:lang w:eastAsia="en-US"/>
    </w:rPr>
  </w:style>
  <w:style w:type="character" w:styleId="af3">
    <w:name w:val="Emphasis"/>
    <w:uiPriority w:val="20"/>
    <w:qFormat/>
    <w:rsid w:val="00A37819"/>
    <w:rPr>
      <w:i/>
      <w:iCs/>
    </w:rPr>
  </w:style>
  <w:style w:type="character" w:customStyle="1" w:styleId="fontstyle34">
    <w:name w:val="fontstyle34"/>
    <w:rsid w:val="00110404"/>
  </w:style>
  <w:style w:type="character" w:customStyle="1" w:styleId="21">
    <w:name w:val="Основной текст (2)_"/>
    <w:link w:val="22"/>
    <w:locked/>
    <w:rsid w:val="00110404"/>
    <w:rPr>
      <w:sz w:val="28"/>
      <w:shd w:val="clear" w:color="auto" w:fill="FFFFFF"/>
    </w:rPr>
  </w:style>
  <w:style w:type="paragraph" w:customStyle="1" w:styleId="22">
    <w:name w:val="Основной текст (2)"/>
    <w:basedOn w:val="a"/>
    <w:link w:val="21"/>
    <w:rsid w:val="00110404"/>
    <w:pPr>
      <w:widowControl w:val="0"/>
      <w:shd w:val="clear" w:color="auto" w:fill="FFFFFF"/>
      <w:spacing w:before="60" w:line="240" w:lineRule="atLeast"/>
      <w:jc w:val="both"/>
    </w:pPr>
    <w:rPr>
      <w:sz w:val="28"/>
      <w:szCs w:val="20"/>
    </w:rPr>
  </w:style>
  <w:style w:type="character" w:customStyle="1" w:styleId="23">
    <w:name w:val="Основной текст (2) + Полужирный"/>
    <w:rsid w:val="00110404"/>
    <w:rPr>
      <w:rFonts w:ascii="Times New Roman" w:hAnsi="Times New Roman"/>
      <w:b/>
      <w:color w:val="000000"/>
      <w:spacing w:val="0"/>
      <w:w w:val="100"/>
      <w:position w:val="0"/>
      <w:sz w:val="28"/>
      <w:u w:val="none"/>
      <w:shd w:val="clear" w:color="auto" w:fill="FFFFFF"/>
      <w:lang w:val="ru-RU" w:eastAsia="ru-RU"/>
    </w:rPr>
  </w:style>
  <w:style w:type="paragraph" w:styleId="af4">
    <w:name w:val="Normal (Web)"/>
    <w:basedOn w:val="a"/>
    <w:uiPriority w:val="99"/>
    <w:unhideWhenUsed/>
    <w:rsid w:val="007518DE"/>
    <w:pPr>
      <w:spacing w:before="100" w:beforeAutospacing="1" w:after="100" w:afterAutospacing="1"/>
    </w:pPr>
    <w:rPr>
      <w:rFonts w:eastAsiaTheme="minorEastAsia"/>
    </w:rPr>
  </w:style>
  <w:style w:type="character" w:customStyle="1" w:styleId="apple-converted-space">
    <w:name w:val="apple-converted-space"/>
    <w:basedOn w:val="a0"/>
    <w:rsid w:val="00334281"/>
  </w:style>
  <w:style w:type="paragraph" w:styleId="af5">
    <w:name w:val="No Spacing"/>
    <w:uiPriority w:val="1"/>
    <w:qFormat/>
    <w:rsid w:val="003375CB"/>
    <w:rPr>
      <w:rFonts w:asciiTheme="minorHAnsi" w:eastAsiaTheme="minorHAnsi" w:hAnsiTheme="minorHAnsi" w:cstheme="minorBidi"/>
      <w:sz w:val="22"/>
      <w:szCs w:val="22"/>
      <w:lang w:eastAsia="en-US"/>
    </w:rPr>
  </w:style>
  <w:style w:type="character" w:styleId="af6">
    <w:name w:val="Strong"/>
    <w:basedOn w:val="a0"/>
    <w:uiPriority w:val="22"/>
    <w:qFormat/>
    <w:rsid w:val="00EF41CF"/>
    <w:rPr>
      <w:b/>
      <w:bCs/>
    </w:rPr>
  </w:style>
  <w:style w:type="character" w:customStyle="1" w:styleId="20">
    <w:name w:val="Заголовок 2 Знак"/>
    <w:basedOn w:val="a0"/>
    <w:link w:val="2"/>
    <w:semiHidden/>
    <w:rsid w:val="000D69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322">
      <w:bodyDiv w:val="1"/>
      <w:marLeft w:val="0"/>
      <w:marRight w:val="0"/>
      <w:marTop w:val="0"/>
      <w:marBottom w:val="0"/>
      <w:divBdr>
        <w:top w:val="none" w:sz="0" w:space="0" w:color="auto"/>
        <w:left w:val="none" w:sz="0" w:space="0" w:color="auto"/>
        <w:bottom w:val="none" w:sz="0" w:space="0" w:color="auto"/>
        <w:right w:val="none" w:sz="0" w:space="0" w:color="auto"/>
      </w:divBdr>
    </w:div>
    <w:div w:id="63838075">
      <w:bodyDiv w:val="1"/>
      <w:marLeft w:val="0"/>
      <w:marRight w:val="0"/>
      <w:marTop w:val="0"/>
      <w:marBottom w:val="0"/>
      <w:divBdr>
        <w:top w:val="none" w:sz="0" w:space="0" w:color="auto"/>
        <w:left w:val="none" w:sz="0" w:space="0" w:color="auto"/>
        <w:bottom w:val="none" w:sz="0" w:space="0" w:color="auto"/>
        <w:right w:val="none" w:sz="0" w:space="0" w:color="auto"/>
      </w:divBdr>
    </w:div>
    <w:div w:id="98718305">
      <w:bodyDiv w:val="1"/>
      <w:marLeft w:val="0"/>
      <w:marRight w:val="0"/>
      <w:marTop w:val="0"/>
      <w:marBottom w:val="0"/>
      <w:divBdr>
        <w:top w:val="none" w:sz="0" w:space="0" w:color="auto"/>
        <w:left w:val="none" w:sz="0" w:space="0" w:color="auto"/>
        <w:bottom w:val="none" w:sz="0" w:space="0" w:color="auto"/>
        <w:right w:val="none" w:sz="0" w:space="0" w:color="auto"/>
      </w:divBdr>
    </w:div>
    <w:div w:id="140847759">
      <w:bodyDiv w:val="1"/>
      <w:marLeft w:val="0"/>
      <w:marRight w:val="0"/>
      <w:marTop w:val="0"/>
      <w:marBottom w:val="0"/>
      <w:divBdr>
        <w:top w:val="none" w:sz="0" w:space="0" w:color="auto"/>
        <w:left w:val="none" w:sz="0" w:space="0" w:color="auto"/>
        <w:bottom w:val="none" w:sz="0" w:space="0" w:color="auto"/>
        <w:right w:val="none" w:sz="0" w:space="0" w:color="auto"/>
      </w:divBdr>
    </w:div>
    <w:div w:id="223757281">
      <w:bodyDiv w:val="1"/>
      <w:marLeft w:val="0"/>
      <w:marRight w:val="0"/>
      <w:marTop w:val="0"/>
      <w:marBottom w:val="0"/>
      <w:divBdr>
        <w:top w:val="none" w:sz="0" w:space="0" w:color="auto"/>
        <w:left w:val="none" w:sz="0" w:space="0" w:color="auto"/>
        <w:bottom w:val="none" w:sz="0" w:space="0" w:color="auto"/>
        <w:right w:val="none" w:sz="0" w:space="0" w:color="auto"/>
      </w:divBdr>
    </w:div>
    <w:div w:id="223833801">
      <w:bodyDiv w:val="1"/>
      <w:marLeft w:val="0"/>
      <w:marRight w:val="0"/>
      <w:marTop w:val="0"/>
      <w:marBottom w:val="0"/>
      <w:divBdr>
        <w:top w:val="none" w:sz="0" w:space="0" w:color="auto"/>
        <w:left w:val="none" w:sz="0" w:space="0" w:color="auto"/>
        <w:bottom w:val="none" w:sz="0" w:space="0" w:color="auto"/>
        <w:right w:val="none" w:sz="0" w:space="0" w:color="auto"/>
      </w:divBdr>
    </w:div>
    <w:div w:id="256181583">
      <w:bodyDiv w:val="1"/>
      <w:marLeft w:val="0"/>
      <w:marRight w:val="0"/>
      <w:marTop w:val="0"/>
      <w:marBottom w:val="0"/>
      <w:divBdr>
        <w:top w:val="none" w:sz="0" w:space="0" w:color="auto"/>
        <w:left w:val="none" w:sz="0" w:space="0" w:color="auto"/>
        <w:bottom w:val="none" w:sz="0" w:space="0" w:color="auto"/>
        <w:right w:val="none" w:sz="0" w:space="0" w:color="auto"/>
      </w:divBdr>
    </w:div>
    <w:div w:id="304051366">
      <w:bodyDiv w:val="1"/>
      <w:marLeft w:val="0"/>
      <w:marRight w:val="0"/>
      <w:marTop w:val="0"/>
      <w:marBottom w:val="0"/>
      <w:divBdr>
        <w:top w:val="none" w:sz="0" w:space="0" w:color="auto"/>
        <w:left w:val="none" w:sz="0" w:space="0" w:color="auto"/>
        <w:bottom w:val="none" w:sz="0" w:space="0" w:color="auto"/>
        <w:right w:val="none" w:sz="0" w:space="0" w:color="auto"/>
      </w:divBdr>
    </w:div>
    <w:div w:id="445000689">
      <w:bodyDiv w:val="1"/>
      <w:marLeft w:val="0"/>
      <w:marRight w:val="0"/>
      <w:marTop w:val="0"/>
      <w:marBottom w:val="0"/>
      <w:divBdr>
        <w:top w:val="none" w:sz="0" w:space="0" w:color="auto"/>
        <w:left w:val="none" w:sz="0" w:space="0" w:color="auto"/>
        <w:bottom w:val="none" w:sz="0" w:space="0" w:color="auto"/>
        <w:right w:val="none" w:sz="0" w:space="0" w:color="auto"/>
      </w:divBdr>
    </w:div>
    <w:div w:id="460341436">
      <w:bodyDiv w:val="1"/>
      <w:marLeft w:val="0"/>
      <w:marRight w:val="0"/>
      <w:marTop w:val="0"/>
      <w:marBottom w:val="0"/>
      <w:divBdr>
        <w:top w:val="none" w:sz="0" w:space="0" w:color="auto"/>
        <w:left w:val="none" w:sz="0" w:space="0" w:color="auto"/>
        <w:bottom w:val="none" w:sz="0" w:space="0" w:color="auto"/>
        <w:right w:val="none" w:sz="0" w:space="0" w:color="auto"/>
      </w:divBdr>
    </w:div>
    <w:div w:id="464617155">
      <w:bodyDiv w:val="1"/>
      <w:marLeft w:val="0"/>
      <w:marRight w:val="0"/>
      <w:marTop w:val="0"/>
      <w:marBottom w:val="0"/>
      <w:divBdr>
        <w:top w:val="none" w:sz="0" w:space="0" w:color="auto"/>
        <w:left w:val="none" w:sz="0" w:space="0" w:color="auto"/>
        <w:bottom w:val="none" w:sz="0" w:space="0" w:color="auto"/>
        <w:right w:val="none" w:sz="0" w:space="0" w:color="auto"/>
      </w:divBdr>
    </w:div>
    <w:div w:id="489951136">
      <w:bodyDiv w:val="1"/>
      <w:marLeft w:val="0"/>
      <w:marRight w:val="0"/>
      <w:marTop w:val="0"/>
      <w:marBottom w:val="0"/>
      <w:divBdr>
        <w:top w:val="none" w:sz="0" w:space="0" w:color="auto"/>
        <w:left w:val="none" w:sz="0" w:space="0" w:color="auto"/>
        <w:bottom w:val="none" w:sz="0" w:space="0" w:color="auto"/>
        <w:right w:val="none" w:sz="0" w:space="0" w:color="auto"/>
      </w:divBdr>
      <w:divsChild>
        <w:div w:id="1243029810">
          <w:marLeft w:val="0"/>
          <w:marRight w:val="0"/>
          <w:marTop w:val="0"/>
          <w:marBottom w:val="0"/>
          <w:divBdr>
            <w:top w:val="none" w:sz="0" w:space="0" w:color="auto"/>
            <w:left w:val="none" w:sz="0" w:space="0" w:color="auto"/>
            <w:bottom w:val="none" w:sz="0" w:space="0" w:color="auto"/>
            <w:right w:val="none" w:sz="0" w:space="0" w:color="auto"/>
          </w:divBdr>
        </w:div>
      </w:divsChild>
    </w:div>
    <w:div w:id="559947628">
      <w:bodyDiv w:val="1"/>
      <w:marLeft w:val="0"/>
      <w:marRight w:val="0"/>
      <w:marTop w:val="0"/>
      <w:marBottom w:val="0"/>
      <w:divBdr>
        <w:top w:val="none" w:sz="0" w:space="0" w:color="auto"/>
        <w:left w:val="none" w:sz="0" w:space="0" w:color="auto"/>
        <w:bottom w:val="none" w:sz="0" w:space="0" w:color="auto"/>
        <w:right w:val="none" w:sz="0" w:space="0" w:color="auto"/>
      </w:divBdr>
    </w:div>
    <w:div w:id="640574265">
      <w:bodyDiv w:val="1"/>
      <w:marLeft w:val="0"/>
      <w:marRight w:val="0"/>
      <w:marTop w:val="0"/>
      <w:marBottom w:val="0"/>
      <w:divBdr>
        <w:top w:val="none" w:sz="0" w:space="0" w:color="auto"/>
        <w:left w:val="none" w:sz="0" w:space="0" w:color="auto"/>
        <w:bottom w:val="none" w:sz="0" w:space="0" w:color="auto"/>
        <w:right w:val="none" w:sz="0" w:space="0" w:color="auto"/>
      </w:divBdr>
    </w:div>
    <w:div w:id="658653833">
      <w:bodyDiv w:val="1"/>
      <w:marLeft w:val="0"/>
      <w:marRight w:val="0"/>
      <w:marTop w:val="0"/>
      <w:marBottom w:val="0"/>
      <w:divBdr>
        <w:top w:val="none" w:sz="0" w:space="0" w:color="auto"/>
        <w:left w:val="none" w:sz="0" w:space="0" w:color="auto"/>
        <w:bottom w:val="none" w:sz="0" w:space="0" w:color="auto"/>
        <w:right w:val="none" w:sz="0" w:space="0" w:color="auto"/>
      </w:divBdr>
    </w:div>
    <w:div w:id="689986707">
      <w:bodyDiv w:val="1"/>
      <w:marLeft w:val="0"/>
      <w:marRight w:val="0"/>
      <w:marTop w:val="0"/>
      <w:marBottom w:val="0"/>
      <w:divBdr>
        <w:top w:val="none" w:sz="0" w:space="0" w:color="auto"/>
        <w:left w:val="none" w:sz="0" w:space="0" w:color="auto"/>
        <w:bottom w:val="none" w:sz="0" w:space="0" w:color="auto"/>
        <w:right w:val="none" w:sz="0" w:space="0" w:color="auto"/>
      </w:divBdr>
    </w:div>
    <w:div w:id="734158843">
      <w:bodyDiv w:val="1"/>
      <w:marLeft w:val="0"/>
      <w:marRight w:val="0"/>
      <w:marTop w:val="0"/>
      <w:marBottom w:val="0"/>
      <w:divBdr>
        <w:top w:val="none" w:sz="0" w:space="0" w:color="auto"/>
        <w:left w:val="none" w:sz="0" w:space="0" w:color="auto"/>
        <w:bottom w:val="none" w:sz="0" w:space="0" w:color="auto"/>
        <w:right w:val="none" w:sz="0" w:space="0" w:color="auto"/>
      </w:divBdr>
    </w:div>
    <w:div w:id="737753746">
      <w:bodyDiv w:val="1"/>
      <w:marLeft w:val="0"/>
      <w:marRight w:val="0"/>
      <w:marTop w:val="0"/>
      <w:marBottom w:val="0"/>
      <w:divBdr>
        <w:top w:val="none" w:sz="0" w:space="0" w:color="auto"/>
        <w:left w:val="none" w:sz="0" w:space="0" w:color="auto"/>
        <w:bottom w:val="none" w:sz="0" w:space="0" w:color="auto"/>
        <w:right w:val="none" w:sz="0" w:space="0" w:color="auto"/>
      </w:divBdr>
    </w:div>
    <w:div w:id="899291027">
      <w:bodyDiv w:val="1"/>
      <w:marLeft w:val="0"/>
      <w:marRight w:val="0"/>
      <w:marTop w:val="0"/>
      <w:marBottom w:val="0"/>
      <w:divBdr>
        <w:top w:val="none" w:sz="0" w:space="0" w:color="auto"/>
        <w:left w:val="none" w:sz="0" w:space="0" w:color="auto"/>
        <w:bottom w:val="none" w:sz="0" w:space="0" w:color="auto"/>
        <w:right w:val="none" w:sz="0" w:space="0" w:color="auto"/>
      </w:divBdr>
    </w:div>
    <w:div w:id="1050955763">
      <w:bodyDiv w:val="1"/>
      <w:marLeft w:val="0"/>
      <w:marRight w:val="0"/>
      <w:marTop w:val="0"/>
      <w:marBottom w:val="0"/>
      <w:divBdr>
        <w:top w:val="none" w:sz="0" w:space="0" w:color="auto"/>
        <w:left w:val="none" w:sz="0" w:space="0" w:color="auto"/>
        <w:bottom w:val="none" w:sz="0" w:space="0" w:color="auto"/>
        <w:right w:val="none" w:sz="0" w:space="0" w:color="auto"/>
      </w:divBdr>
    </w:div>
    <w:div w:id="1085688936">
      <w:bodyDiv w:val="1"/>
      <w:marLeft w:val="0"/>
      <w:marRight w:val="0"/>
      <w:marTop w:val="0"/>
      <w:marBottom w:val="0"/>
      <w:divBdr>
        <w:top w:val="none" w:sz="0" w:space="0" w:color="auto"/>
        <w:left w:val="none" w:sz="0" w:space="0" w:color="auto"/>
        <w:bottom w:val="none" w:sz="0" w:space="0" w:color="auto"/>
        <w:right w:val="none" w:sz="0" w:space="0" w:color="auto"/>
      </w:divBdr>
    </w:div>
    <w:div w:id="1096288558">
      <w:bodyDiv w:val="1"/>
      <w:marLeft w:val="0"/>
      <w:marRight w:val="0"/>
      <w:marTop w:val="0"/>
      <w:marBottom w:val="0"/>
      <w:divBdr>
        <w:top w:val="none" w:sz="0" w:space="0" w:color="auto"/>
        <w:left w:val="none" w:sz="0" w:space="0" w:color="auto"/>
        <w:bottom w:val="none" w:sz="0" w:space="0" w:color="auto"/>
        <w:right w:val="none" w:sz="0" w:space="0" w:color="auto"/>
      </w:divBdr>
    </w:div>
    <w:div w:id="1103768141">
      <w:bodyDiv w:val="1"/>
      <w:marLeft w:val="0"/>
      <w:marRight w:val="0"/>
      <w:marTop w:val="0"/>
      <w:marBottom w:val="0"/>
      <w:divBdr>
        <w:top w:val="none" w:sz="0" w:space="0" w:color="auto"/>
        <w:left w:val="none" w:sz="0" w:space="0" w:color="auto"/>
        <w:bottom w:val="none" w:sz="0" w:space="0" w:color="auto"/>
        <w:right w:val="none" w:sz="0" w:space="0" w:color="auto"/>
      </w:divBdr>
    </w:div>
    <w:div w:id="1129057931">
      <w:bodyDiv w:val="1"/>
      <w:marLeft w:val="0"/>
      <w:marRight w:val="0"/>
      <w:marTop w:val="0"/>
      <w:marBottom w:val="0"/>
      <w:divBdr>
        <w:top w:val="none" w:sz="0" w:space="0" w:color="auto"/>
        <w:left w:val="none" w:sz="0" w:space="0" w:color="auto"/>
        <w:bottom w:val="none" w:sz="0" w:space="0" w:color="auto"/>
        <w:right w:val="none" w:sz="0" w:space="0" w:color="auto"/>
      </w:divBdr>
    </w:div>
    <w:div w:id="1210536241">
      <w:bodyDiv w:val="1"/>
      <w:marLeft w:val="0"/>
      <w:marRight w:val="0"/>
      <w:marTop w:val="0"/>
      <w:marBottom w:val="0"/>
      <w:divBdr>
        <w:top w:val="none" w:sz="0" w:space="0" w:color="auto"/>
        <w:left w:val="none" w:sz="0" w:space="0" w:color="auto"/>
        <w:bottom w:val="none" w:sz="0" w:space="0" w:color="auto"/>
        <w:right w:val="none" w:sz="0" w:space="0" w:color="auto"/>
      </w:divBdr>
    </w:div>
    <w:div w:id="1246691456">
      <w:bodyDiv w:val="1"/>
      <w:marLeft w:val="0"/>
      <w:marRight w:val="0"/>
      <w:marTop w:val="0"/>
      <w:marBottom w:val="0"/>
      <w:divBdr>
        <w:top w:val="none" w:sz="0" w:space="0" w:color="auto"/>
        <w:left w:val="none" w:sz="0" w:space="0" w:color="auto"/>
        <w:bottom w:val="none" w:sz="0" w:space="0" w:color="auto"/>
        <w:right w:val="none" w:sz="0" w:space="0" w:color="auto"/>
      </w:divBdr>
    </w:div>
    <w:div w:id="1290891403">
      <w:bodyDiv w:val="1"/>
      <w:marLeft w:val="0"/>
      <w:marRight w:val="0"/>
      <w:marTop w:val="0"/>
      <w:marBottom w:val="0"/>
      <w:divBdr>
        <w:top w:val="none" w:sz="0" w:space="0" w:color="auto"/>
        <w:left w:val="none" w:sz="0" w:space="0" w:color="auto"/>
        <w:bottom w:val="none" w:sz="0" w:space="0" w:color="auto"/>
        <w:right w:val="none" w:sz="0" w:space="0" w:color="auto"/>
      </w:divBdr>
    </w:div>
    <w:div w:id="1353844276">
      <w:bodyDiv w:val="1"/>
      <w:marLeft w:val="0"/>
      <w:marRight w:val="0"/>
      <w:marTop w:val="0"/>
      <w:marBottom w:val="0"/>
      <w:divBdr>
        <w:top w:val="none" w:sz="0" w:space="0" w:color="auto"/>
        <w:left w:val="none" w:sz="0" w:space="0" w:color="auto"/>
        <w:bottom w:val="none" w:sz="0" w:space="0" w:color="auto"/>
        <w:right w:val="none" w:sz="0" w:space="0" w:color="auto"/>
      </w:divBdr>
    </w:div>
    <w:div w:id="1380544698">
      <w:bodyDiv w:val="1"/>
      <w:marLeft w:val="0"/>
      <w:marRight w:val="0"/>
      <w:marTop w:val="0"/>
      <w:marBottom w:val="0"/>
      <w:divBdr>
        <w:top w:val="none" w:sz="0" w:space="0" w:color="auto"/>
        <w:left w:val="none" w:sz="0" w:space="0" w:color="auto"/>
        <w:bottom w:val="none" w:sz="0" w:space="0" w:color="auto"/>
        <w:right w:val="none" w:sz="0" w:space="0" w:color="auto"/>
      </w:divBdr>
    </w:div>
    <w:div w:id="1536042193">
      <w:bodyDiv w:val="1"/>
      <w:marLeft w:val="0"/>
      <w:marRight w:val="0"/>
      <w:marTop w:val="0"/>
      <w:marBottom w:val="0"/>
      <w:divBdr>
        <w:top w:val="none" w:sz="0" w:space="0" w:color="auto"/>
        <w:left w:val="none" w:sz="0" w:space="0" w:color="auto"/>
        <w:bottom w:val="none" w:sz="0" w:space="0" w:color="auto"/>
        <w:right w:val="none" w:sz="0" w:space="0" w:color="auto"/>
      </w:divBdr>
    </w:div>
    <w:div w:id="1539246216">
      <w:bodyDiv w:val="1"/>
      <w:marLeft w:val="0"/>
      <w:marRight w:val="0"/>
      <w:marTop w:val="0"/>
      <w:marBottom w:val="0"/>
      <w:divBdr>
        <w:top w:val="none" w:sz="0" w:space="0" w:color="auto"/>
        <w:left w:val="none" w:sz="0" w:space="0" w:color="auto"/>
        <w:bottom w:val="none" w:sz="0" w:space="0" w:color="auto"/>
        <w:right w:val="none" w:sz="0" w:space="0" w:color="auto"/>
      </w:divBdr>
    </w:div>
    <w:div w:id="1700162222">
      <w:bodyDiv w:val="1"/>
      <w:marLeft w:val="0"/>
      <w:marRight w:val="0"/>
      <w:marTop w:val="0"/>
      <w:marBottom w:val="0"/>
      <w:divBdr>
        <w:top w:val="none" w:sz="0" w:space="0" w:color="auto"/>
        <w:left w:val="none" w:sz="0" w:space="0" w:color="auto"/>
        <w:bottom w:val="none" w:sz="0" w:space="0" w:color="auto"/>
        <w:right w:val="none" w:sz="0" w:space="0" w:color="auto"/>
      </w:divBdr>
    </w:div>
    <w:div w:id="1731877018">
      <w:bodyDiv w:val="1"/>
      <w:marLeft w:val="0"/>
      <w:marRight w:val="0"/>
      <w:marTop w:val="0"/>
      <w:marBottom w:val="0"/>
      <w:divBdr>
        <w:top w:val="none" w:sz="0" w:space="0" w:color="auto"/>
        <w:left w:val="none" w:sz="0" w:space="0" w:color="auto"/>
        <w:bottom w:val="none" w:sz="0" w:space="0" w:color="auto"/>
        <w:right w:val="none" w:sz="0" w:space="0" w:color="auto"/>
      </w:divBdr>
    </w:div>
    <w:div w:id="1752922995">
      <w:bodyDiv w:val="1"/>
      <w:marLeft w:val="0"/>
      <w:marRight w:val="0"/>
      <w:marTop w:val="0"/>
      <w:marBottom w:val="0"/>
      <w:divBdr>
        <w:top w:val="none" w:sz="0" w:space="0" w:color="auto"/>
        <w:left w:val="none" w:sz="0" w:space="0" w:color="auto"/>
        <w:bottom w:val="none" w:sz="0" w:space="0" w:color="auto"/>
        <w:right w:val="none" w:sz="0" w:space="0" w:color="auto"/>
      </w:divBdr>
    </w:div>
    <w:div w:id="1814449454">
      <w:bodyDiv w:val="1"/>
      <w:marLeft w:val="0"/>
      <w:marRight w:val="0"/>
      <w:marTop w:val="0"/>
      <w:marBottom w:val="0"/>
      <w:divBdr>
        <w:top w:val="none" w:sz="0" w:space="0" w:color="auto"/>
        <w:left w:val="none" w:sz="0" w:space="0" w:color="auto"/>
        <w:bottom w:val="none" w:sz="0" w:space="0" w:color="auto"/>
        <w:right w:val="none" w:sz="0" w:space="0" w:color="auto"/>
      </w:divBdr>
    </w:div>
    <w:div w:id="1874346741">
      <w:bodyDiv w:val="1"/>
      <w:marLeft w:val="0"/>
      <w:marRight w:val="0"/>
      <w:marTop w:val="0"/>
      <w:marBottom w:val="0"/>
      <w:divBdr>
        <w:top w:val="none" w:sz="0" w:space="0" w:color="auto"/>
        <w:left w:val="none" w:sz="0" w:space="0" w:color="auto"/>
        <w:bottom w:val="none" w:sz="0" w:space="0" w:color="auto"/>
        <w:right w:val="none" w:sz="0" w:space="0" w:color="auto"/>
      </w:divBdr>
    </w:div>
    <w:div w:id="20023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a.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1CF2-B53D-45B4-8560-CCFACF50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Hewlett-Packard Company</Company>
  <LinksUpToDate>false</LinksUpToDate>
  <CharactersWithSpaces>9419</CharactersWithSpaces>
  <SharedDoc>false</SharedDoc>
  <HLinks>
    <vt:vector size="6" baseType="variant">
      <vt:variant>
        <vt:i4>4456506</vt:i4>
      </vt:variant>
      <vt:variant>
        <vt:i4>0</vt:i4>
      </vt:variant>
      <vt:variant>
        <vt:i4>0</vt:i4>
      </vt:variant>
      <vt:variant>
        <vt:i4>5</vt:i4>
      </vt:variant>
      <vt:variant>
        <vt:lpwstr>mailto:fgis@fsa.gov.ru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User</dc:creator>
  <cp:keywords/>
  <cp:lastModifiedBy>Залазаев Максим Борисович</cp:lastModifiedBy>
  <cp:revision>5</cp:revision>
  <cp:lastPrinted>2025-04-17T13:19:00Z</cp:lastPrinted>
  <dcterms:created xsi:type="dcterms:W3CDTF">2025-05-22T15:14:00Z</dcterms:created>
  <dcterms:modified xsi:type="dcterms:W3CDTF">2025-06-03T07:02:00Z</dcterms:modified>
</cp:coreProperties>
</file>